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600" w:lineRule="exact"/>
        <w:ind w:left="0" w:right="7" w:firstLine="0"/>
        <w:rPr>
          <w:rFonts w:ascii="黑体" w:eastAsia="黑体"/>
          <w:sz w:val="32"/>
          <w:szCs w:val="32"/>
        </w:rPr>
      </w:pPr>
      <w:r>
        <w:rPr>
          <w:rFonts w:ascii="黑体" w:eastAsia="黑体"/>
          <w:sz w:val="32"/>
          <w:szCs w:val="32"/>
        </w:rPr>
        <w:t>附件1</w:t>
      </w:r>
      <w:bookmarkStart w:id="0" w:name="_GoBack"/>
      <w:bookmarkEnd w:id="0"/>
    </w:p>
    <w:p>
      <w:pPr>
        <w:jc w:val="center"/>
        <w:rPr>
          <w:rFonts w:hint="eastAsia" w:ascii="方正小标宋_GBK" w:eastAsia="方正小标宋_GBK"/>
          <w:sz w:val="44"/>
          <w:szCs w:val="44"/>
        </w:rPr>
      </w:pPr>
      <w:r>
        <w:rPr>
          <w:rFonts w:hint="eastAsia" w:ascii="方正小标宋_GBK" w:eastAsia="方正小标宋_GBK"/>
          <w:sz w:val="44"/>
          <w:szCs w:val="44"/>
        </w:rPr>
        <w:t>2018年度市社科规划项目结项名单</w:t>
      </w:r>
    </w:p>
    <w:tbl>
      <w:tblPr>
        <w:tblStyle w:val="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253"/>
        <w:gridCol w:w="1134"/>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shd w:val="clear" w:color="auto" w:fill="auto"/>
            <w:noWrap w:val="0"/>
            <w:vAlign w:val="center"/>
          </w:tcPr>
          <w:p>
            <w:pPr>
              <w:snapToGrid w:val="0"/>
              <w:spacing w:line="400" w:lineRule="exact"/>
              <w:jc w:val="center"/>
              <w:rPr>
                <w:rFonts w:hint="eastAsia" w:ascii="黑体" w:eastAsia="黑体"/>
                <w:sz w:val="30"/>
                <w:szCs w:val="30"/>
              </w:rPr>
            </w:pPr>
            <w:r>
              <w:rPr>
                <w:rFonts w:hint="eastAsia" w:ascii="黑体" w:eastAsia="黑体"/>
                <w:sz w:val="30"/>
                <w:szCs w:val="30"/>
              </w:rPr>
              <w:t>序号</w:t>
            </w:r>
          </w:p>
        </w:tc>
        <w:tc>
          <w:tcPr>
            <w:tcW w:w="4253" w:type="dxa"/>
            <w:shd w:val="clear" w:color="auto" w:fill="auto"/>
            <w:noWrap w:val="0"/>
            <w:vAlign w:val="center"/>
          </w:tcPr>
          <w:p>
            <w:pPr>
              <w:snapToGrid w:val="0"/>
              <w:spacing w:line="400" w:lineRule="exact"/>
              <w:jc w:val="center"/>
              <w:rPr>
                <w:rFonts w:ascii="黑体" w:eastAsia="黑体"/>
                <w:sz w:val="30"/>
                <w:szCs w:val="30"/>
              </w:rPr>
            </w:pPr>
            <w:r>
              <w:rPr>
                <w:rFonts w:hint="eastAsia" w:ascii="黑体" w:eastAsia="黑体"/>
                <w:sz w:val="30"/>
                <w:szCs w:val="30"/>
              </w:rPr>
              <w:t>课题名称</w:t>
            </w:r>
          </w:p>
        </w:tc>
        <w:tc>
          <w:tcPr>
            <w:tcW w:w="1134" w:type="dxa"/>
            <w:shd w:val="clear" w:color="auto" w:fill="auto"/>
            <w:noWrap w:val="0"/>
            <w:vAlign w:val="center"/>
          </w:tcPr>
          <w:p>
            <w:pPr>
              <w:snapToGrid w:val="0"/>
              <w:spacing w:line="400" w:lineRule="exact"/>
              <w:jc w:val="center"/>
              <w:rPr>
                <w:rFonts w:ascii="黑体" w:eastAsia="黑体"/>
                <w:sz w:val="30"/>
                <w:szCs w:val="30"/>
              </w:rPr>
            </w:pPr>
            <w:r>
              <w:rPr>
                <w:rFonts w:hint="eastAsia" w:ascii="黑体" w:eastAsia="黑体"/>
                <w:sz w:val="30"/>
                <w:szCs w:val="30"/>
              </w:rPr>
              <w:t>负责人</w:t>
            </w:r>
          </w:p>
        </w:tc>
        <w:tc>
          <w:tcPr>
            <w:tcW w:w="2551" w:type="dxa"/>
            <w:shd w:val="clear" w:color="auto" w:fill="auto"/>
            <w:noWrap w:val="0"/>
            <w:vAlign w:val="center"/>
          </w:tcPr>
          <w:p>
            <w:pPr>
              <w:snapToGrid w:val="0"/>
              <w:spacing w:line="400" w:lineRule="exact"/>
              <w:jc w:val="center"/>
              <w:rPr>
                <w:rFonts w:ascii="黑体" w:eastAsia="黑体"/>
                <w:sz w:val="30"/>
                <w:szCs w:val="30"/>
              </w:rPr>
            </w:pPr>
            <w:r>
              <w:rPr>
                <w:rFonts w:hint="eastAsia" w:ascii="黑体" w:eastAsia="黑体"/>
                <w:sz w:val="30"/>
                <w:szCs w:val="30"/>
              </w:rPr>
              <w:t>单位</w:t>
            </w:r>
          </w:p>
        </w:tc>
        <w:tc>
          <w:tcPr>
            <w:tcW w:w="851" w:type="dxa"/>
            <w:shd w:val="clear" w:color="auto" w:fill="auto"/>
            <w:noWrap w:val="0"/>
            <w:vAlign w:val="center"/>
          </w:tcPr>
          <w:p>
            <w:pPr>
              <w:snapToGrid w:val="0"/>
              <w:spacing w:line="400" w:lineRule="exact"/>
              <w:jc w:val="center"/>
              <w:rPr>
                <w:rFonts w:ascii="黑体" w:eastAsia="黑体"/>
                <w:sz w:val="30"/>
                <w:szCs w:val="30"/>
              </w:rPr>
            </w:pPr>
            <w:r>
              <w:rPr>
                <w:rFonts w:hint="eastAsia" w:ascii="黑体" w:eastAsia="黑体"/>
                <w:sz w:val="30"/>
                <w:szCs w:val="30"/>
              </w:rPr>
              <w:t>成果</w:t>
            </w:r>
          </w:p>
          <w:p>
            <w:pPr>
              <w:snapToGrid w:val="0"/>
              <w:spacing w:line="400" w:lineRule="exact"/>
              <w:jc w:val="center"/>
              <w:rPr>
                <w:rFonts w:ascii="黑体" w:eastAsia="黑体"/>
                <w:sz w:val="30"/>
                <w:szCs w:val="30"/>
              </w:rPr>
            </w:pPr>
            <w:r>
              <w:rPr>
                <w:rFonts w:hint="eastAsia" w:ascii="黑体" w:eastAsia="黑体"/>
                <w:sz w:val="30"/>
                <w:szCs w:val="30"/>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海洋生态承载力评价及贡献因素研究QDSKL1801002</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杜元伟</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青岛市国家级海洋公园社区生态旅游发展研究QDSKL1801009</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刘敏</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海洋环境治理绩效及其影响因素研究QDSKL1801014</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王刚</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青岛市新媒体产业升级与创新路径研究QDSKL1801018</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王璇</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青岛市海洋环境与经济发展研究QDSKL1801016</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王舒鸿</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青岛文艺评论年鉴（2017-2018）QDSKL1801272</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温奉桥</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7</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新时代青岛市海洋生态文明建设路径研究QDSKL1801022</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张一</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8</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青岛市乡村振兴战略实现路径研究QDSKL1801003</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高强</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智库专报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9</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社会组织参与城市基层协商治理机制研究——以青岛市为例QDSKL1801019</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王宇环</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中国海洋大学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10</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青岛城市空间生活品质提升路径研究QDSKL1801030</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黄晴</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山东大学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11</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供应链突发事件扩散研究-以青岛市绿色生鲜供应链为例QDSKL1801035</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邓忆瑞</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中国石油大学（华东）</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12</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区域创新体系对青岛市企业研发创新行为的影响及政策启示QDSKL1801051</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王勇</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中国石油大学（华东）</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13</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科普影视创新发展研究——以青岛市为例QDSKL1801053</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熊小秦</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中国石油大学（华东）</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14</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“双驱动”背景下的青岛市海外利益拓展战略研究QDSKL1801041</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郎帅</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中国石油大学（华东）</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15</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低碳引领下城市政府社会网络协同演化分析：以青岛市为例QDSKL1801045</w:t>
            </w:r>
          </w:p>
        </w:tc>
        <w:tc>
          <w:tcPr>
            <w:tcW w:w="1134"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刘玲</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中国石油大学（华东）</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16</w:t>
            </w:r>
          </w:p>
        </w:tc>
        <w:tc>
          <w:tcPr>
            <w:tcW w:w="4253" w:type="dxa"/>
            <w:shd w:val="clear" w:color="auto" w:fill="auto"/>
            <w:noWrap w:val="0"/>
            <w:vAlign w:val="center"/>
          </w:tcPr>
          <w:p>
            <w:pPr>
              <w:widowControl/>
              <w:snapToGrid w:val="0"/>
              <w:spacing w:line="320" w:lineRule="atLeast"/>
              <w:rPr>
                <w:rFonts w:hint="eastAsia" w:ascii="仿宋_GB2312" w:hAnsi="仿宋"/>
                <w:sz w:val="24"/>
                <w:szCs w:val="24"/>
              </w:rPr>
            </w:pPr>
            <w:r>
              <w:rPr>
                <w:rFonts w:hint="eastAsia" w:ascii="仿宋_GB2312" w:hAnsi="仿宋"/>
                <w:sz w:val="24"/>
                <w:szCs w:val="24"/>
              </w:rPr>
              <w:t>新旧动能转换背景下青岛市经济增长动力解析及促进对策研究QDSKL1801043</w:t>
            </w:r>
          </w:p>
        </w:tc>
        <w:tc>
          <w:tcPr>
            <w:tcW w:w="1134"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李永波</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中国石油大学（华东）</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研究</w:t>
            </w:r>
          </w:p>
          <w:p>
            <w:pPr>
              <w:snapToGrid w:val="0"/>
              <w:spacing w:line="340" w:lineRule="atLeast"/>
              <w:jc w:val="center"/>
              <w:rPr>
                <w:rFonts w:hint="eastAsia" w:ascii="仿宋_GB2312" w:hAnsi="仿宋"/>
                <w:sz w:val="24"/>
                <w:szCs w:val="24"/>
              </w:rPr>
            </w:pPr>
            <w:r>
              <w:rPr>
                <w:rFonts w:hint="eastAsia" w:ascii="仿宋_GB2312" w:hAnsi="仿宋"/>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17</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新型城镇化进程中青岛乡村文明建设的逻辑与进路研究QDSKL1801157</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陈洪连</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18</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新旧动能转换背景下青岛市环境规制促进产业结构升级研究QDSKL1801094</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杨喆</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19</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基于大数据分析的网络新闻舆论作用力提高方法研究QDSKL1801056</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宾晟</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20</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后峰会时代青岛城市音乐文化品牌提策略研究QDSKL1801065</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韩忠岭</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21</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新旧动能转换背景下海洋产业高端人才创新合作模式研究QDSKL1801085</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王崇锋</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22</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发展绿色金融支持青岛市新旧动能转换研究QDSKL1801092</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谢彦</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23</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新旧动能转换背景下风险投资对青岛市企业信贷资源配置效率的影响研究QDSKL1801084</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汪剑锋</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24</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青岛市实施农产品质量安全战略的政策效应评价研究QDSKL1801062</w:t>
            </w:r>
          </w:p>
        </w:tc>
        <w:tc>
          <w:tcPr>
            <w:tcW w:w="1134"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高齐圣</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25</w:t>
            </w:r>
          </w:p>
        </w:tc>
        <w:tc>
          <w:tcPr>
            <w:tcW w:w="4253" w:type="dxa"/>
            <w:shd w:val="clear" w:color="auto" w:fill="auto"/>
            <w:noWrap w:val="0"/>
            <w:vAlign w:val="center"/>
          </w:tcPr>
          <w:p>
            <w:pPr>
              <w:snapToGrid w:val="0"/>
              <w:spacing w:line="360" w:lineRule="atLeast"/>
              <w:rPr>
                <w:rFonts w:hint="eastAsia" w:ascii="仿宋_GB2312" w:hAnsi="仿宋"/>
                <w:sz w:val="24"/>
                <w:szCs w:val="24"/>
              </w:rPr>
            </w:pPr>
            <w:r>
              <w:rPr>
                <w:rFonts w:hint="eastAsia" w:ascii="仿宋_GB2312" w:hAnsi="仿宋"/>
                <w:sz w:val="24"/>
                <w:szCs w:val="24"/>
              </w:rPr>
              <w:t>青岛城市社区矛盾冲突有效预防化解研究QDSKL1801061</w:t>
            </w:r>
          </w:p>
        </w:tc>
        <w:tc>
          <w:tcPr>
            <w:tcW w:w="1134"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高红</w:t>
            </w:r>
          </w:p>
        </w:tc>
        <w:tc>
          <w:tcPr>
            <w:tcW w:w="2551"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青岛大学</w:t>
            </w:r>
          </w:p>
        </w:tc>
        <w:tc>
          <w:tcPr>
            <w:tcW w:w="851"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26</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钢琴文化产业的价值探讨与发展对策QDSKL1801124</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孟晓</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27</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完善青岛市社区治理评价体系研究QDSKL1801127</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田铮</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28</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保护历史文化名城，建设魅力青岛——非物质文化遗产青岛茂腔传承人口述史研究QDSKL1801110</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耿琰</w:t>
            </w:r>
          </w:p>
        </w:tc>
        <w:tc>
          <w:tcPr>
            <w:tcW w:w="25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29</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新旧动能转换工程背景下青岛市海洋文化创意产业发展建设及研究QDSKL1801101</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薄其芳</w:t>
            </w:r>
          </w:p>
        </w:tc>
        <w:tc>
          <w:tcPr>
            <w:tcW w:w="2551"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30</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习近平新时代“以人民为中心”的治理模式研究——基于青岛市“一站式”政府服务模式的分析QDSKL1801111</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国虹</w:t>
            </w:r>
          </w:p>
        </w:tc>
        <w:tc>
          <w:tcPr>
            <w:tcW w:w="2551"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31</w:t>
            </w:r>
          </w:p>
        </w:tc>
        <w:tc>
          <w:tcPr>
            <w:tcW w:w="4253" w:type="dxa"/>
            <w:shd w:val="clear" w:color="auto" w:fill="auto"/>
            <w:noWrap w:val="0"/>
            <w:vAlign w:val="center"/>
          </w:tcPr>
          <w:p>
            <w:pPr>
              <w:widowControl/>
              <w:snapToGrid w:val="0"/>
              <w:spacing w:line="360" w:lineRule="atLeast"/>
              <w:rPr>
                <w:rFonts w:hint="eastAsia" w:ascii="仿宋_GB2312" w:hAnsi="仿宋"/>
                <w:sz w:val="24"/>
                <w:szCs w:val="24"/>
              </w:rPr>
            </w:pPr>
            <w:r>
              <w:rPr>
                <w:rFonts w:hint="eastAsia" w:ascii="仿宋_GB2312" w:hAnsi="仿宋"/>
                <w:sz w:val="24"/>
                <w:szCs w:val="24"/>
              </w:rPr>
              <w:t>新旧动能转换背景下青岛市“体医融合”公共健康服务转型升级研究QDSKL1801125</w:t>
            </w:r>
          </w:p>
        </w:tc>
        <w:tc>
          <w:tcPr>
            <w:tcW w:w="1134"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沈圳</w:t>
            </w:r>
          </w:p>
        </w:tc>
        <w:tc>
          <w:tcPr>
            <w:tcW w:w="2551" w:type="dxa"/>
            <w:shd w:val="clear" w:color="auto" w:fill="auto"/>
            <w:noWrap w:val="0"/>
            <w:vAlign w:val="center"/>
          </w:tcPr>
          <w:p>
            <w:pPr>
              <w:snapToGrid w:val="0"/>
              <w:spacing w:line="36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widowControl/>
              <w:snapToGrid w:val="0"/>
              <w:spacing w:line="36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32</w:t>
            </w:r>
          </w:p>
        </w:tc>
        <w:tc>
          <w:tcPr>
            <w:tcW w:w="4253" w:type="dxa"/>
            <w:shd w:val="clear" w:color="auto" w:fill="auto"/>
            <w:noWrap w:val="0"/>
            <w:vAlign w:val="center"/>
          </w:tcPr>
          <w:p>
            <w:pPr>
              <w:snapToGrid w:val="0"/>
              <w:spacing w:line="340" w:lineRule="atLeast"/>
              <w:rPr>
                <w:rFonts w:hint="eastAsia" w:ascii="仿宋_GB2312" w:hAnsi="仿宋"/>
                <w:sz w:val="24"/>
                <w:szCs w:val="24"/>
              </w:rPr>
            </w:pPr>
            <w:r>
              <w:rPr>
                <w:rFonts w:hint="eastAsia" w:ascii="仿宋_GB2312" w:hAnsi="仿宋"/>
                <w:sz w:val="24"/>
                <w:szCs w:val="24"/>
              </w:rPr>
              <w:t>青岛市财政与外资规模扩张驱动供给侧改革的效应与对策分析QDSKL1801128</w:t>
            </w:r>
          </w:p>
        </w:tc>
        <w:tc>
          <w:tcPr>
            <w:tcW w:w="1134"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王垒</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33</w:t>
            </w:r>
          </w:p>
        </w:tc>
        <w:tc>
          <w:tcPr>
            <w:tcW w:w="4253" w:type="dxa"/>
            <w:shd w:val="clear" w:color="auto" w:fill="auto"/>
            <w:noWrap w:val="0"/>
            <w:vAlign w:val="center"/>
          </w:tcPr>
          <w:p>
            <w:pPr>
              <w:widowControl/>
              <w:snapToGrid w:val="0"/>
              <w:spacing w:line="340" w:lineRule="atLeast"/>
              <w:rPr>
                <w:rFonts w:ascii="仿宋_GB2312" w:hAnsi="仿宋"/>
                <w:sz w:val="24"/>
                <w:szCs w:val="24"/>
              </w:rPr>
            </w:pPr>
            <w:r>
              <w:rPr>
                <w:rFonts w:hint="eastAsia" w:ascii="仿宋_GB2312" w:hAnsi="仿宋"/>
                <w:sz w:val="24"/>
                <w:szCs w:val="24"/>
              </w:rPr>
              <w:t>青岛市推进军民融合深度发展障碍性因素与化解策略研究QDSKL1801119</w:t>
            </w:r>
          </w:p>
        </w:tc>
        <w:tc>
          <w:tcPr>
            <w:tcW w:w="1134" w:type="dxa"/>
            <w:shd w:val="clear" w:color="auto" w:fill="auto"/>
            <w:noWrap w:val="0"/>
            <w:vAlign w:val="center"/>
          </w:tcPr>
          <w:p>
            <w:pPr>
              <w:widowControl/>
              <w:snapToGrid w:val="0"/>
              <w:spacing w:line="340" w:lineRule="atLeast"/>
              <w:jc w:val="center"/>
              <w:rPr>
                <w:rFonts w:ascii="仿宋_GB2312" w:hAnsi="仿宋"/>
                <w:sz w:val="24"/>
                <w:szCs w:val="24"/>
              </w:rPr>
            </w:pPr>
            <w:r>
              <w:rPr>
                <w:rFonts w:hint="eastAsia" w:ascii="仿宋_GB2312" w:hAnsi="仿宋"/>
                <w:sz w:val="24"/>
                <w:szCs w:val="24"/>
              </w:rPr>
              <w:t>李四光</w:t>
            </w:r>
          </w:p>
        </w:tc>
        <w:tc>
          <w:tcPr>
            <w:tcW w:w="2551" w:type="dxa"/>
            <w:shd w:val="clear" w:color="auto" w:fill="auto"/>
            <w:noWrap w:val="0"/>
            <w:vAlign w:val="center"/>
          </w:tcPr>
          <w:p>
            <w:pPr>
              <w:widowControl/>
              <w:snapToGrid w:val="0"/>
              <w:spacing w:line="340" w:lineRule="atLeast"/>
              <w:jc w:val="center"/>
              <w:rPr>
                <w:rFonts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34</w:t>
            </w:r>
          </w:p>
        </w:tc>
        <w:tc>
          <w:tcPr>
            <w:tcW w:w="4253" w:type="dxa"/>
            <w:shd w:val="clear" w:color="auto" w:fill="auto"/>
            <w:noWrap w:val="0"/>
            <w:vAlign w:val="center"/>
          </w:tcPr>
          <w:p>
            <w:pPr>
              <w:snapToGrid w:val="0"/>
              <w:spacing w:line="340" w:lineRule="atLeast"/>
              <w:rPr>
                <w:rFonts w:hint="eastAsia" w:ascii="仿宋_GB2312" w:hAnsi="仿宋"/>
                <w:sz w:val="24"/>
                <w:szCs w:val="24"/>
              </w:rPr>
            </w:pPr>
            <w:r>
              <w:rPr>
                <w:rFonts w:hint="eastAsia" w:ascii="仿宋_GB2312" w:hAnsi="仿宋"/>
                <w:sz w:val="24"/>
                <w:szCs w:val="24"/>
              </w:rPr>
              <w:t>习近平总书记关于“枫桥经验”的指示精神在科研不端基层法律治理中的实践研究QDSKL1801107</w:t>
            </w:r>
          </w:p>
        </w:tc>
        <w:tc>
          <w:tcPr>
            <w:tcW w:w="1134"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董兴佩</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山东科技大学</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35</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青岛市要素资源错配对技术创新的影响机制及政策研究QDSKL1801152</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吕承超</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青岛科技大学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36</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青岛市中小企业创新驱动对接新旧动能转换机制研究QDSKL1801150</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李海兰</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青岛科技大学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37</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青岛市老年信息传播契约失灵问题研究QDKSL1801164</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吴静</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青岛科技大学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38</w:t>
            </w:r>
          </w:p>
        </w:tc>
        <w:tc>
          <w:tcPr>
            <w:tcW w:w="4253" w:type="dxa"/>
            <w:shd w:val="clear" w:color="auto" w:fill="auto"/>
            <w:noWrap w:val="0"/>
            <w:vAlign w:val="center"/>
          </w:tcPr>
          <w:p>
            <w:pPr>
              <w:snapToGrid w:val="0"/>
              <w:spacing w:line="340" w:lineRule="atLeast"/>
              <w:rPr>
                <w:rFonts w:hint="eastAsia" w:ascii="仿宋_GB2312" w:hAnsi="仿宋"/>
                <w:sz w:val="24"/>
                <w:szCs w:val="24"/>
              </w:rPr>
            </w:pPr>
            <w:r>
              <w:rPr>
                <w:rFonts w:hint="eastAsia" w:ascii="仿宋_GB2312" w:hAnsi="仿宋"/>
                <w:sz w:val="24"/>
                <w:szCs w:val="24"/>
              </w:rPr>
              <w:t>青岛市海洋科技协同创新高质量发展对策研究QDSKL1801160</w:t>
            </w:r>
          </w:p>
        </w:tc>
        <w:tc>
          <w:tcPr>
            <w:tcW w:w="1134"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王玉梅</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青岛科技大学</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39</w:t>
            </w:r>
          </w:p>
        </w:tc>
        <w:tc>
          <w:tcPr>
            <w:tcW w:w="4253" w:type="dxa"/>
            <w:shd w:val="clear" w:color="auto" w:fill="auto"/>
            <w:noWrap w:val="0"/>
            <w:vAlign w:val="center"/>
          </w:tcPr>
          <w:p>
            <w:pPr>
              <w:snapToGrid w:val="0"/>
              <w:spacing w:line="340" w:lineRule="atLeast"/>
              <w:rPr>
                <w:rFonts w:hint="eastAsia" w:ascii="仿宋_GB2312" w:hAnsi="仿宋"/>
                <w:sz w:val="24"/>
                <w:szCs w:val="24"/>
              </w:rPr>
            </w:pPr>
            <w:r>
              <w:rPr>
                <w:rFonts w:hint="eastAsia" w:ascii="仿宋_GB2312" w:hAnsi="仿宋"/>
                <w:sz w:val="24"/>
                <w:szCs w:val="24"/>
              </w:rPr>
              <w:t>基于社交媒体大数据的网民心理分析QDSKL1801159</w:t>
            </w:r>
          </w:p>
        </w:tc>
        <w:tc>
          <w:tcPr>
            <w:tcW w:w="1134"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王伟</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青岛科技大学</w:t>
            </w:r>
          </w:p>
        </w:tc>
        <w:tc>
          <w:tcPr>
            <w:tcW w:w="8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40</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互联网+政务服务：青岛市政务微信的发展策略研究QDSKL1801262</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于淼</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青岛理工大学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41</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提升城市空间活力目标下的青岛历史城区城市遗产活力评测暨建设应对策略QDSKL1801256</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徐敏</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青岛理工大学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42</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驻青高校大学生理论社团发展现状、问题与对策研究QDSKL1801243</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化磊</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青岛理工大学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43</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青岛市扩大服务对外开放促进自由贸易港建设研究QDSKL1801184</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李俊</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44</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集体林权抵押法律问题研究QDSKL1801180</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郭燕茹</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45</w:t>
            </w:r>
          </w:p>
        </w:tc>
        <w:tc>
          <w:tcPr>
            <w:tcW w:w="4253" w:type="dxa"/>
            <w:shd w:val="clear" w:color="auto" w:fill="auto"/>
            <w:noWrap w:val="0"/>
            <w:vAlign w:val="center"/>
          </w:tcPr>
          <w:p>
            <w:pPr>
              <w:widowControl/>
              <w:snapToGrid w:val="0"/>
              <w:spacing w:line="320" w:lineRule="atLeast"/>
              <w:rPr>
                <w:rFonts w:hint="eastAsia" w:ascii="仿宋_GB2312" w:hAnsi="仿宋"/>
                <w:sz w:val="24"/>
                <w:szCs w:val="24"/>
              </w:rPr>
            </w:pPr>
            <w:r>
              <w:rPr>
                <w:rFonts w:hint="eastAsia" w:ascii="仿宋_GB2312" w:hAnsi="仿宋"/>
                <w:sz w:val="24"/>
                <w:szCs w:val="24"/>
              </w:rPr>
              <w:t>青岛智慧农村信息平台的设计与推广</w:t>
            </w:r>
            <w:r>
              <w:rPr>
                <w:rFonts w:hint="eastAsia" w:ascii="宋体" w:hAnsi="宋体" w:eastAsia="宋体"/>
                <w:sz w:val="24"/>
                <w:szCs w:val="24"/>
              </w:rPr>
              <w:t>——</w:t>
            </w:r>
            <w:r>
              <w:rPr>
                <w:rFonts w:hint="eastAsia" w:ascii="仿宋_GB2312" w:hAnsi="仿宋"/>
                <w:sz w:val="24"/>
                <w:szCs w:val="24"/>
              </w:rPr>
              <w:t>基于老龄化的农村的现实QDSKL1801183</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赖媛媛</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46</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中国传统文化在青岛乡村振兴中的价值及创造性转化研究QDSKL1801196</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杨先梅</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47</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文化品牌视野下打造青岛国际电影节的前瞻性研究QDSKL1801191</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王平</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48</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习近平经济思想在青岛的实践研究QDSKL1801179</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房桂芝</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49</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乡村振兴视阈下青岛市农村三产融合的实现路径研究QDSKL1801174</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包乌兰托亚</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50</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青岛市推进乡村振兴战略问题分析和对策研究QDSKL1801190</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隋姝妍</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青岛农业大学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51</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“碎片化”的领导学QDSKL1801284</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孙志强</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52</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“九水模式”：李沧社区治理创新报告QDSKL1801285</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王义</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53</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社会主要矛盾视角下乡村振兴的路径—乡村治理转型研究QDSKL1801286</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于忠珍</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54</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有效利用上合组织青岛峰会“后效应”提升城市品牌研究QDSKL1801279</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胡春燕</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55</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后峰会时代青岛加快推进国际城市建设研究QDSKL1801280</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金花</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56</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青岛市停车管理中的政府行为研究QDSKL1801287</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张松梅</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57</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基于需求分析的青岛市国际化推进战略研究QDSKL1801278</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崔群</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58</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文化自信背景下青岛海洋特色文化的绘本艺术表达研究QDSKL1801205</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王洋</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青岛滨海学院</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59</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大数据背景下青岛市政府网络舆情危机应对策略研究QDSKL1801221</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孙授卿</w:t>
            </w:r>
          </w:p>
        </w:tc>
        <w:tc>
          <w:tcPr>
            <w:tcW w:w="2551" w:type="dxa"/>
            <w:shd w:val="clear" w:color="auto" w:fill="auto"/>
            <w:noWrap w:val="0"/>
            <w:vAlign w:val="center"/>
          </w:tcPr>
          <w:p>
            <w:pPr>
              <w:snapToGrid w:val="0"/>
              <w:spacing w:line="340" w:lineRule="atLeast"/>
              <w:jc w:val="center"/>
              <w:rPr>
                <w:rFonts w:hint="eastAsia" w:ascii="仿宋_GB2312" w:hAnsi="仿宋"/>
                <w:spacing w:val="-4"/>
                <w:sz w:val="24"/>
                <w:szCs w:val="24"/>
              </w:rPr>
            </w:pPr>
            <w:r>
              <w:rPr>
                <w:rFonts w:hint="eastAsia" w:ascii="仿宋_GB2312" w:hAnsi="仿宋"/>
                <w:spacing w:val="-4"/>
                <w:sz w:val="24"/>
                <w:szCs w:val="24"/>
              </w:rPr>
              <w:t>青岛酒店职业管理学院</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60</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乡村振兴战略下青岛市小农户充分融入都市现代农业发展研究QDSKL1801219</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董启锦</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pacing w:val="-4"/>
                <w:sz w:val="24"/>
                <w:szCs w:val="24"/>
              </w:rPr>
              <w:t>青岛酒店职业管理学院</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61</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青岛市乡村振兴战略下的农村社会救助路径选择研究QDSKL1801213</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孙启泮</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青岛社科院</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62</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新时代背景下经济发展新旧动能转换研究—以青岛为例的实证分析QDSKL1801215</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吴净</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青岛社科院</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63</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乡村旅游与美丽乡村建设的耦合发展研究QDSKL1800210</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王昌森</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山东外贸职业学院</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64</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即墨蓝氏QDSKL1801274</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张可先</w:t>
            </w:r>
          </w:p>
        </w:tc>
        <w:tc>
          <w:tcPr>
            <w:tcW w:w="2551" w:type="dxa"/>
            <w:shd w:val="clear" w:color="auto" w:fill="auto"/>
            <w:noWrap w:val="0"/>
            <w:vAlign w:val="center"/>
          </w:tcPr>
          <w:p>
            <w:pPr>
              <w:snapToGrid w:val="0"/>
              <w:spacing w:line="340" w:lineRule="atLeast"/>
              <w:jc w:val="center"/>
              <w:rPr>
                <w:rFonts w:hint="eastAsia" w:ascii="仿宋_GB2312" w:hAnsi="仿宋"/>
                <w:sz w:val="24"/>
                <w:szCs w:val="24"/>
              </w:rPr>
            </w:pPr>
            <w:r>
              <w:rPr>
                <w:rFonts w:hint="eastAsia" w:ascii="仿宋_GB2312" w:hAnsi="仿宋"/>
                <w:spacing w:val="-4"/>
                <w:sz w:val="24"/>
                <w:szCs w:val="24"/>
              </w:rPr>
              <w:t>即墨区委党史研究中心</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65</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青岛武术研究QDSKL180128</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王开文</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烟台大学</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66</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构建和谐家风教育模式复兴青岛乡村文明实证研究QDSKL1801277</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周崎</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平度开发区党工委</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67</w:t>
            </w:r>
          </w:p>
        </w:tc>
        <w:tc>
          <w:tcPr>
            <w:tcW w:w="4253" w:type="dxa"/>
            <w:shd w:val="clear" w:color="auto" w:fill="auto"/>
            <w:noWrap w:val="0"/>
            <w:vAlign w:val="center"/>
          </w:tcPr>
          <w:p>
            <w:pPr>
              <w:widowControl/>
              <w:snapToGrid w:val="0"/>
              <w:spacing w:line="340" w:lineRule="atLeast"/>
              <w:rPr>
                <w:rFonts w:hint="eastAsia" w:ascii="仿宋_GB2312" w:hAnsi="仿宋"/>
                <w:sz w:val="24"/>
                <w:szCs w:val="24"/>
              </w:rPr>
            </w:pPr>
            <w:r>
              <w:rPr>
                <w:rFonts w:hint="eastAsia" w:ascii="仿宋_GB2312" w:hAnsi="仿宋"/>
                <w:sz w:val="24"/>
                <w:szCs w:val="24"/>
              </w:rPr>
              <w:t>军民融合发展法制保障实务研究</w:t>
            </w:r>
            <w:r>
              <w:rPr>
                <w:rFonts w:ascii="仿宋_GB2312" w:hAnsi="仿宋"/>
                <w:sz w:val="24"/>
                <w:szCs w:val="24"/>
              </w:rPr>
              <w:t>QDSKL1801232</w:t>
            </w:r>
          </w:p>
          <w:p>
            <w:pPr>
              <w:widowControl/>
              <w:snapToGrid w:val="0"/>
              <w:spacing w:line="340" w:lineRule="atLeast"/>
              <w:rPr>
                <w:rFonts w:hint="eastAsia" w:ascii="仿宋_GB2312" w:hAnsi="仿宋"/>
                <w:sz w:val="24"/>
                <w:szCs w:val="24"/>
              </w:rPr>
            </w:pPr>
            <w:r>
              <w:rPr>
                <w:rFonts w:hint="eastAsia" w:ascii="仿宋_GB2312" w:hAnsi="仿宋"/>
                <w:sz w:val="24"/>
                <w:szCs w:val="24"/>
              </w:rPr>
              <w:t>军民融合示范区建设之地方立法研究——以青岛市为例QDSKL1801156</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万振东</w:t>
            </w:r>
          </w:p>
        </w:tc>
        <w:tc>
          <w:tcPr>
            <w:tcW w:w="25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青岛市司法局</w:t>
            </w:r>
          </w:p>
        </w:tc>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68</w:t>
            </w:r>
          </w:p>
        </w:tc>
        <w:tc>
          <w:tcPr>
            <w:tcW w:w="4253" w:type="dxa"/>
            <w:shd w:val="clear" w:color="auto" w:fill="auto"/>
            <w:noWrap w:val="0"/>
            <w:vAlign w:val="center"/>
          </w:tcPr>
          <w:p>
            <w:pPr>
              <w:widowControl/>
              <w:snapToGrid w:val="0"/>
              <w:spacing w:line="340" w:lineRule="atLeast"/>
              <w:ind w:right="17" w:rightChars="5"/>
              <w:rPr>
                <w:rFonts w:hint="eastAsia" w:ascii="仿宋_GB2312" w:hAnsi="仿宋"/>
                <w:sz w:val="24"/>
                <w:szCs w:val="24"/>
              </w:rPr>
            </w:pPr>
            <w:r>
              <w:rPr>
                <w:rFonts w:hint="eastAsia" w:ascii="仿宋_GB2312" w:hAnsi="仿宋"/>
                <w:sz w:val="24"/>
                <w:szCs w:val="24"/>
              </w:rPr>
              <w:t>青岛西海岸新区社会公共安全治理体系研究QDSKL1801225</w:t>
            </w:r>
          </w:p>
        </w:tc>
        <w:tc>
          <w:tcPr>
            <w:tcW w:w="1134"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赵辉</w:t>
            </w:r>
          </w:p>
        </w:tc>
        <w:tc>
          <w:tcPr>
            <w:tcW w:w="25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青岛西海岸新区社会治理中心</w:t>
            </w:r>
          </w:p>
        </w:tc>
        <w:tc>
          <w:tcPr>
            <w:tcW w:w="8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69</w:t>
            </w:r>
          </w:p>
        </w:tc>
        <w:tc>
          <w:tcPr>
            <w:tcW w:w="4253" w:type="dxa"/>
            <w:shd w:val="clear" w:color="auto" w:fill="auto"/>
            <w:noWrap w:val="0"/>
            <w:vAlign w:val="center"/>
          </w:tcPr>
          <w:p>
            <w:pPr>
              <w:widowControl/>
              <w:snapToGrid w:val="0"/>
              <w:spacing w:line="340" w:lineRule="atLeast"/>
              <w:rPr>
                <w:rFonts w:ascii="仿宋_GB2312" w:hAnsi="仿宋"/>
                <w:sz w:val="24"/>
                <w:szCs w:val="24"/>
              </w:rPr>
            </w:pPr>
            <w:r>
              <w:rPr>
                <w:rFonts w:hint="eastAsia" w:ascii="仿宋_GB2312" w:hAnsi="仿宋"/>
                <w:sz w:val="24"/>
                <w:szCs w:val="24"/>
              </w:rPr>
              <w:t>“三全育人”视阈下青岛市高职院校创新创业教育体系构建探索</w:t>
            </w:r>
            <w:r>
              <w:rPr>
                <w:rFonts w:ascii="仿宋_GB2312" w:hAnsi="仿宋"/>
                <w:sz w:val="24"/>
                <w:szCs w:val="24"/>
              </w:rPr>
              <w:t>QDSKL1801218</w:t>
            </w:r>
          </w:p>
        </w:tc>
        <w:tc>
          <w:tcPr>
            <w:tcW w:w="1134" w:type="dxa"/>
            <w:shd w:val="clear" w:color="auto" w:fill="auto"/>
            <w:noWrap w:val="0"/>
            <w:vAlign w:val="center"/>
          </w:tcPr>
          <w:p>
            <w:pPr>
              <w:widowControl/>
              <w:snapToGrid w:val="0"/>
              <w:spacing w:line="340" w:lineRule="atLeast"/>
              <w:jc w:val="center"/>
              <w:rPr>
                <w:rFonts w:ascii="仿宋_GB2312" w:hAnsi="仿宋"/>
                <w:sz w:val="24"/>
                <w:szCs w:val="24"/>
              </w:rPr>
            </w:pPr>
            <w:r>
              <w:rPr>
                <w:rFonts w:hint="eastAsia" w:ascii="仿宋_GB2312" w:hAnsi="仿宋"/>
                <w:sz w:val="24"/>
                <w:szCs w:val="24"/>
              </w:rPr>
              <w:t>毛海燕</w:t>
            </w:r>
          </w:p>
        </w:tc>
        <w:tc>
          <w:tcPr>
            <w:tcW w:w="2551" w:type="dxa"/>
            <w:shd w:val="clear" w:color="auto" w:fill="auto"/>
            <w:noWrap w:val="0"/>
            <w:vAlign w:val="center"/>
          </w:tcPr>
          <w:p>
            <w:pPr>
              <w:snapToGrid w:val="0"/>
              <w:spacing w:line="340" w:lineRule="atLeast"/>
              <w:jc w:val="center"/>
              <w:rPr>
                <w:rFonts w:ascii="仿宋_GB2312" w:hAnsi="仿宋"/>
                <w:sz w:val="24"/>
                <w:szCs w:val="24"/>
              </w:rPr>
            </w:pPr>
            <w:r>
              <w:rPr>
                <w:rFonts w:hint="eastAsia" w:ascii="仿宋_GB2312" w:hAnsi="仿宋"/>
                <w:spacing w:val="-4"/>
                <w:sz w:val="24"/>
                <w:szCs w:val="24"/>
              </w:rPr>
              <w:t>青岛港湾职业技术学院</w:t>
            </w:r>
          </w:p>
        </w:tc>
        <w:tc>
          <w:tcPr>
            <w:tcW w:w="851" w:type="dxa"/>
            <w:shd w:val="clear" w:color="auto" w:fill="auto"/>
            <w:noWrap w:val="0"/>
            <w:vAlign w:val="center"/>
          </w:tcPr>
          <w:p>
            <w:pPr>
              <w:widowControl/>
              <w:snapToGrid w:val="0"/>
              <w:spacing w:line="340" w:lineRule="atLeast"/>
              <w:jc w:val="center"/>
              <w:rPr>
                <w:rFonts w:ascii="仿宋_GB2312" w:hAnsi="仿宋"/>
                <w:sz w:val="24"/>
                <w:szCs w:val="24"/>
              </w:rPr>
            </w:pPr>
            <w:r>
              <w:rPr>
                <w:rFonts w:hint="eastAsia" w:ascii="仿宋_GB2312" w:hAnsi="仿宋"/>
                <w:sz w:val="24"/>
                <w:szCs w:val="24"/>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70</w:t>
            </w:r>
          </w:p>
        </w:tc>
        <w:tc>
          <w:tcPr>
            <w:tcW w:w="4253" w:type="dxa"/>
            <w:shd w:val="clear" w:color="auto" w:fill="auto"/>
            <w:noWrap w:val="0"/>
            <w:vAlign w:val="center"/>
          </w:tcPr>
          <w:p>
            <w:pPr>
              <w:widowControl/>
              <w:snapToGrid w:val="0"/>
              <w:spacing w:line="340" w:lineRule="atLeast"/>
              <w:ind w:right="17" w:rightChars="5"/>
              <w:rPr>
                <w:rFonts w:hint="eastAsia" w:ascii="仿宋_GB2312" w:hAnsi="仿宋"/>
                <w:sz w:val="24"/>
                <w:szCs w:val="24"/>
              </w:rPr>
            </w:pPr>
            <w:r>
              <w:rPr>
                <w:rFonts w:ascii="仿宋_GB2312" w:hAnsi="仿宋"/>
                <w:sz w:val="24"/>
                <w:szCs w:val="24"/>
              </w:rPr>
              <w:t>马克思主义意识形态研究</w:t>
            </w:r>
            <w:r>
              <w:rPr>
                <w:rFonts w:hint="eastAsia" w:ascii="仿宋_GB2312" w:hAnsi="仿宋"/>
                <w:sz w:val="24"/>
                <w:szCs w:val="24"/>
              </w:rPr>
              <w:t>（委托）</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曹胜</w:t>
            </w:r>
          </w:p>
        </w:tc>
        <w:tc>
          <w:tcPr>
            <w:tcW w:w="25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青岛科技大学</w:t>
            </w:r>
          </w:p>
        </w:tc>
        <w:tc>
          <w:tcPr>
            <w:tcW w:w="8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71</w:t>
            </w:r>
          </w:p>
        </w:tc>
        <w:tc>
          <w:tcPr>
            <w:tcW w:w="4253" w:type="dxa"/>
            <w:shd w:val="clear" w:color="auto" w:fill="auto"/>
            <w:noWrap w:val="0"/>
            <w:vAlign w:val="center"/>
          </w:tcPr>
          <w:p>
            <w:pPr>
              <w:widowControl/>
              <w:snapToGrid w:val="0"/>
              <w:spacing w:line="340" w:lineRule="atLeast"/>
              <w:ind w:right="17" w:rightChars="5"/>
              <w:rPr>
                <w:rFonts w:ascii="仿宋_GB2312" w:hAnsi="仿宋"/>
                <w:sz w:val="24"/>
                <w:szCs w:val="24"/>
              </w:rPr>
            </w:pPr>
            <w:r>
              <w:rPr>
                <w:rFonts w:hint="eastAsia" w:ascii="仿宋_GB2312" w:hAnsi="仿宋"/>
                <w:sz w:val="24"/>
                <w:szCs w:val="24"/>
              </w:rPr>
              <w:t>七卷本青岛市改革开放辉煌40年丛书（委托）</w:t>
            </w:r>
          </w:p>
        </w:tc>
        <w:tc>
          <w:tcPr>
            <w:tcW w:w="1134" w:type="dxa"/>
            <w:shd w:val="clear" w:color="auto" w:fill="auto"/>
            <w:noWrap w:val="0"/>
            <w:vAlign w:val="center"/>
          </w:tcPr>
          <w:p>
            <w:pPr>
              <w:widowControl/>
              <w:snapToGrid w:val="0"/>
              <w:spacing w:line="340" w:lineRule="atLeast"/>
              <w:ind w:right="-102" w:rightChars="-30"/>
              <w:rPr>
                <w:rFonts w:hint="eastAsia" w:ascii="仿宋_GB2312" w:hAnsi="仿宋"/>
                <w:sz w:val="24"/>
                <w:szCs w:val="24"/>
              </w:rPr>
            </w:pPr>
            <w:r>
              <w:rPr>
                <w:rFonts w:hint="eastAsia" w:ascii="仿宋_GB2312" w:hAnsi="仿宋"/>
                <w:sz w:val="24"/>
                <w:szCs w:val="24"/>
              </w:rPr>
              <w:t>刘增禄等</w:t>
            </w:r>
          </w:p>
        </w:tc>
        <w:tc>
          <w:tcPr>
            <w:tcW w:w="25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72</w:t>
            </w:r>
          </w:p>
        </w:tc>
        <w:tc>
          <w:tcPr>
            <w:tcW w:w="4253" w:type="dxa"/>
            <w:shd w:val="clear" w:color="auto" w:fill="auto"/>
            <w:noWrap w:val="0"/>
            <w:vAlign w:val="center"/>
          </w:tcPr>
          <w:p>
            <w:pPr>
              <w:widowControl/>
              <w:snapToGrid w:val="0"/>
              <w:spacing w:line="340" w:lineRule="atLeast"/>
              <w:ind w:right="17" w:rightChars="5"/>
              <w:rPr>
                <w:rFonts w:hint="eastAsia" w:ascii="仿宋_GB2312" w:hAnsi="仿宋"/>
                <w:sz w:val="24"/>
                <w:szCs w:val="24"/>
              </w:rPr>
            </w:pPr>
            <w:r>
              <w:rPr>
                <w:rFonts w:hint="eastAsia" w:ascii="仿宋_GB2312" w:hAnsi="仿宋"/>
                <w:sz w:val="24"/>
                <w:szCs w:val="24"/>
              </w:rPr>
              <w:t>高校思想政治课宣讲稿(委托)</w:t>
            </w:r>
          </w:p>
        </w:tc>
        <w:tc>
          <w:tcPr>
            <w:tcW w:w="1134" w:type="dxa"/>
            <w:shd w:val="clear" w:color="auto" w:fill="auto"/>
            <w:noWrap w:val="0"/>
            <w:vAlign w:val="center"/>
          </w:tcPr>
          <w:p>
            <w:pPr>
              <w:widowControl/>
              <w:snapToGrid w:val="0"/>
              <w:spacing w:line="340" w:lineRule="atLeast"/>
              <w:jc w:val="center"/>
              <w:rPr>
                <w:rFonts w:hint="eastAsia" w:ascii="仿宋_GB2312" w:hAnsi="仿宋"/>
                <w:sz w:val="24"/>
                <w:szCs w:val="24"/>
              </w:rPr>
            </w:pPr>
            <w:r>
              <w:rPr>
                <w:rFonts w:hint="eastAsia" w:ascii="仿宋_GB2312" w:hAnsi="仿宋"/>
                <w:sz w:val="24"/>
                <w:szCs w:val="24"/>
              </w:rPr>
              <w:t>王涛</w:t>
            </w:r>
          </w:p>
        </w:tc>
        <w:tc>
          <w:tcPr>
            <w:tcW w:w="25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中共青岛市委党校</w:t>
            </w:r>
          </w:p>
        </w:tc>
        <w:tc>
          <w:tcPr>
            <w:tcW w:w="851" w:type="dxa"/>
            <w:shd w:val="clear" w:color="auto" w:fill="auto"/>
            <w:noWrap w:val="0"/>
            <w:vAlign w:val="center"/>
          </w:tcPr>
          <w:p>
            <w:pPr>
              <w:snapToGrid w:val="0"/>
              <w:spacing w:line="340" w:lineRule="atLeast"/>
              <w:ind w:right="17" w:rightChars="5"/>
              <w:jc w:val="center"/>
              <w:rPr>
                <w:rFonts w:hint="eastAsia" w:ascii="仿宋_GB2312" w:hAnsi="仿宋"/>
                <w:sz w:val="24"/>
                <w:szCs w:val="24"/>
              </w:rPr>
            </w:pPr>
            <w:r>
              <w:rPr>
                <w:rFonts w:hint="eastAsia" w:ascii="仿宋_GB2312" w:hAnsi="仿宋"/>
                <w:sz w:val="24"/>
                <w:szCs w:val="24"/>
              </w:rPr>
              <w:t>研究报告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83681"/>
    <w:rsid w:val="46D83681"/>
    <w:rsid w:val="608E3A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val="0"/>
      <w:spacing w:line="312" w:lineRule="atLeast"/>
      <w:ind w:left="-3" w:rightChars="2" w:hanging="3"/>
    </w:pPr>
    <w:rPr>
      <w:rFonts w:hint="eastAsia" w:ascii="仿宋_GB2312"/>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2019-12-02T07:34:00Z</dcterms:created>
  <dc:creator>恩，就这样吧</dc:creator>
  <cp:lastModifiedBy>恩，就这样吧</cp:lastModifiedBy>
  <dcterms:modified xsi:type="dcterms:W3CDTF">2019-12-02T07:36:29Z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