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Cs w:val="32"/>
        </w:rPr>
      </w:pPr>
      <w:r>
        <w:rPr>
          <w:rFonts w:hint="eastAsia" w:ascii="黑体" w:hAnsi="黑体" w:eastAsia="黑体"/>
          <w:szCs w:val="32"/>
        </w:rPr>
        <w:t>附件2</w:t>
      </w:r>
      <w:bookmarkStart w:id="0" w:name="_GoBack"/>
      <w:bookmarkEnd w:id="0"/>
    </w:p>
    <w:p>
      <w:pPr>
        <w:jc w:val="center"/>
        <w:rPr>
          <w:rFonts w:hint="eastAsia" w:ascii="方正小标宋_GBK" w:eastAsia="方正小标宋_GBK"/>
          <w:spacing w:val="-6"/>
          <w:sz w:val="44"/>
          <w:szCs w:val="44"/>
        </w:rPr>
      </w:pPr>
      <w:r>
        <w:rPr>
          <w:rFonts w:hint="eastAsia" w:ascii="方正小标宋_GBK" w:eastAsia="方正小标宋_GBK"/>
          <w:spacing w:val="-6"/>
          <w:sz w:val="44"/>
          <w:szCs w:val="44"/>
        </w:rPr>
        <w:t>2017年度及以前市社科规划项目结项名单</w:t>
      </w:r>
    </w:p>
    <w:tbl>
      <w:tblPr>
        <w:tblStyle w:val="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4073"/>
        <w:gridCol w:w="1476"/>
        <w:gridCol w:w="241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47" w:type="dxa"/>
            <w:shd w:val="clear" w:color="auto" w:fill="auto"/>
            <w:noWrap w:val="0"/>
            <w:vAlign w:val="center"/>
          </w:tcPr>
          <w:p>
            <w:pPr>
              <w:snapToGrid w:val="0"/>
              <w:spacing w:line="400" w:lineRule="exact"/>
              <w:jc w:val="center"/>
              <w:rPr>
                <w:rFonts w:hint="eastAsia" w:ascii="黑体" w:eastAsia="黑体"/>
                <w:color w:val="000000"/>
                <w:spacing w:val="-20"/>
                <w:sz w:val="30"/>
                <w:szCs w:val="30"/>
              </w:rPr>
            </w:pPr>
            <w:r>
              <w:rPr>
                <w:rFonts w:hint="eastAsia" w:ascii="黑体" w:eastAsia="黑体"/>
                <w:color w:val="000000"/>
                <w:spacing w:val="-20"/>
                <w:sz w:val="30"/>
                <w:szCs w:val="30"/>
              </w:rPr>
              <w:t>序号</w:t>
            </w:r>
          </w:p>
        </w:tc>
        <w:tc>
          <w:tcPr>
            <w:tcW w:w="4073" w:type="dxa"/>
            <w:shd w:val="clear" w:color="auto" w:fill="auto"/>
            <w:noWrap w:val="0"/>
            <w:vAlign w:val="center"/>
          </w:tcPr>
          <w:p>
            <w:pPr>
              <w:snapToGrid w:val="0"/>
              <w:spacing w:line="400" w:lineRule="exact"/>
              <w:jc w:val="center"/>
              <w:rPr>
                <w:rFonts w:ascii="黑体" w:eastAsia="黑体"/>
                <w:color w:val="000000"/>
                <w:spacing w:val="-20"/>
                <w:sz w:val="30"/>
                <w:szCs w:val="30"/>
              </w:rPr>
            </w:pPr>
            <w:r>
              <w:rPr>
                <w:rFonts w:hint="eastAsia" w:ascii="黑体" w:eastAsia="黑体"/>
                <w:color w:val="000000"/>
                <w:spacing w:val="-20"/>
                <w:sz w:val="30"/>
                <w:szCs w:val="30"/>
              </w:rPr>
              <w:t>课题名称</w:t>
            </w:r>
          </w:p>
        </w:tc>
        <w:tc>
          <w:tcPr>
            <w:tcW w:w="1476" w:type="dxa"/>
            <w:shd w:val="clear" w:color="auto" w:fill="auto"/>
            <w:noWrap w:val="0"/>
            <w:vAlign w:val="center"/>
          </w:tcPr>
          <w:p>
            <w:pPr>
              <w:snapToGrid w:val="0"/>
              <w:spacing w:line="400" w:lineRule="exact"/>
              <w:jc w:val="center"/>
              <w:rPr>
                <w:rFonts w:ascii="黑体" w:eastAsia="黑体"/>
                <w:color w:val="000000"/>
                <w:spacing w:val="-20"/>
                <w:sz w:val="30"/>
                <w:szCs w:val="30"/>
              </w:rPr>
            </w:pPr>
            <w:r>
              <w:rPr>
                <w:rFonts w:hint="eastAsia" w:ascii="黑体" w:eastAsia="黑体"/>
                <w:color w:val="000000"/>
                <w:spacing w:val="-20"/>
                <w:sz w:val="30"/>
                <w:szCs w:val="30"/>
              </w:rPr>
              <w:t>负责人</w:t>
            </w:r>
          </w:p>
        </w:tc>
        <w:tc>
          <w:tcPr>
            <w:tcW w:w="2417" w:type="dxa"/>
            <w:shd w:val="clear" w:color="auto" w:fill="auto"/>
            <w:noWrap w:val="0"/>
            <w:vAlign w:val="center"/>
          </w:tcPr>
          <w:p>
            <w:pPr>
              <w:snapToGrid w:val="0"/>
              <w:spacing w:line="400" w:lineRule="exact"/>
              <w:jc w:val="center"/>
              <w:rPr>
                <w:rFonts w:ascii="黑体" w:eastAsia="黑体"/>
                <w:color w:val="000000"/>
                <w:spacing w:val="-20"/>
                <w:sz w:val="30"/>
                <w:szCs w:val="30"/>
              </w:rPr>
            </w:pPr>
            <w:r>
              <w:rPr>
                <w:rFonts w:hint="eastAsia" w:ascii="黑体" w:eastAsia="黑体"/>
                <w:color w:val="000000"/>
                <w:spacing w:val="-20"/>
                <w:sz w:val="30"/>
                <w:szCs w:val="30"/>
              </w:rPr>
              <w:t>单位</w:t>
            </w:r>
          </w:p>
        </w:tc>
        <w:tc>
          <w:tcPr>
            <w:tcW w:w="827" w:type="dxa"/>
            <w:shd w:val="clear" w:color="auto" w:fill="auto"/>
            <w:noWrap w:val="0"/>
            <w:vAlign w:val="center"/>
          </w:tcPr>
          <w:p>
            <w:pPr>
              <w:snapToGrid w:val="0"/>
              <w:spacing w:line="400" w:lineRule="exact"/>
              <w:jc w:val="center"/>
              <w:rPr>
                <w:rFonts w:ascii="黑体" w:eastAsia="黑体"/>
                <w:color w:val="000000"/>
                <w:spacing w:val="-20"/>
                <w:sz w:val="30"/>
                <w:szCs w:val="30"/>
              </w:rPr>
            </w:pPr>
            <w:r>
              <w:rPr>
                <w:rFonts w:hint="eastAsia" w:ascii="黑体" w:eastAsia="黑体"/>
                <w:color w:val="000000"/>
                <w:spacing w:val="-20"/>
                <w:sz w:val="30"/>
                <w:szCs w:val="30"/>
              </w:rPr>
              <w:t>成果</w:t>
            </w:r>
          </w:p>
          <w:p>
            <w:pPr>
              <w:snapToGrid w:val="0"/>
              <w:spacing w:line="400" w:lineRule="exact"/>
              <w:jc w:val="center"/>
              <w:rPr>
                <w:rFonts w:ascii="黑体" w:eastAsia="黑体"/>
                <w:color w:val="000000"/>
                <w:spacing w:val="-20"/>
                <w:sz w:val="30"/>
                <w:szCs w:val="30"/>
              </w:rPr>
            </w:pPr>
            <w:r>
              <w:rPr>
                <w:rFonts w:hint="eastAsia" w:ascii="黑体" w:eastAsia="黑体"/>
                <w:color w:val="000000"/>
                <w:spacing w:val="-20"/>
                <w:sz w:val="30"/>
                <w:szCs w:val="30"/>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美国《反经济间谍法》适用的中国指向及应对研究QDSKL1701006</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曹亚伟</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国际化城市市民国际理解素养现状调查与提升对策研究---以青岛市为例QDSKL1701009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亢敏</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青岛市青少年古琴传习研究QDSKL1701015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刘琳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普惠金融视角下青岛市金融精准扶贫模式及对策研究QDSKL1701001</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罗斯丹</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 xml:space="preserve">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青岛市先进制造业发展现状评价与提升对策研究QDSKL1701023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王水莲</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青岛市创新生态系统生成机制与发展路径研究QDSKL1701021</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王小洁</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“一带一路”背景下青岛市语言服务策略研究QDSKL1701045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朱珊</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8</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践行习近平总书记“讲好中国故事”之多语绘本《康有为与青岛》QDSKL1701030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范靓</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9</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俄罗斯剧作家万比洛夫戏剧美学研究QDSKL1701032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孙大满</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10</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公私合作项目全寿命周期视角的契约设计与优化QDSKL170405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孙燕芳</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11</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“一带一路”战略下青岛市制造业国际竞争力提升路径与对策研究QDSKL1701039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刘锴</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12</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以德修身以德立威以德服众——习近平领导干部道德新思想对传统儒家道德思想的创造性转化与创新性发展QDSKL1701041</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纪光欣</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13</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青岛市环保公共服务绩效的提升研究QDSKL1701058</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胡萌</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14</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青岛市城乡空巢老人养老保障问题研究QDSKL1701060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王梅欣</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15</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环境群体冲突的生成逻辑及政府全过程阻断策略研究QDSKL1701053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李凌汉</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美国制造业回流对青岛市制造业竞争力影响研究QDSKL1701063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孙婧</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17</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明代胶州赵完璧《海壑吟稿》校注QDSKL1701050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王海燕</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18</w:t>
            </w:r>
          </w:p>
        </w:tc>
        <w:tc>
          <w:tcPr>
            <w:tcW w:w="4073" w:type="dxa"/>
            <w:shd w:val="clear" w:color="auto" w:fill="auto"/>
            <w:noWrap w:val="0"/>
            <w:vAlign w:val="center"/>
          </w:tcPr>
          <w:p>
            <w:pPr>
              <w:snapToGrid w:val="0"/>
              <w:spacing w:line="320" w:lineRule="atLeast"/>
              <w:rPr>
                <w:rFonts w:hint="eastAsia" w:ascii="仿宋_GB2312" w:hAnsi="仿宋"/>
                <w:color w:val="000000"/>
                <w:sz w:val="24"/>
                <w:szCs w:val="24"/>
              </w:rPr>
            </w:pPr>
            <w:r>
              <w:rPr>
                <w:rFonts w:hint="eastAsia" w:ascii="仿宋_GB2312" w:hAnsi="仿宋"/>
                <w:color w:val="000000"/>
                <w:sz w:val="24"/>
                <w:szCs w:val="24"/>
              </w:rPr>
              <w:t>财政分权对青岛市公共产品供给影响的时空分异研究——以环境为例QDSKL1701062</w:t>
            </w:r>
          </w:p>
        </w:tc>
        <w:tc>
          <w:tcPr>
            <w:tcW w:w="1476"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刘瑞超</w:t>
            </w:r>
          </w:p>
        </w:tc>
        <w:tc>
          <w:tcPr>
            <w:tcW w:w="2417" w:type="dxa"/>
            <w:shd w:val="clear" w:color="auto" w:fill="auto"/>
            <w:noWrap w:val="0"/>
            <w:vAlign w:val="center"/>
          </w:tcPr>
          <w:p>
            <w:pPr>
              <w:snapToGrid w:val="0"/>
              <w:spacing w:line="320" w:lineRule="atLeast"/>
              <w:ind w:right="17" w:rightChars="5"/>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19</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城市社区与高校音乐教育资源整合之策略研究QDXKL1701090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郭民建</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20</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青岛轨道交通建设中公共艺术设计的文化可持续性研究QDSKL1701095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张晓玮</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21</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新媒体背景下驻青高校意识形态教育创新路径研究QDSKLZ17010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徐正中</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22</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供给侧结构性改革与青岛市体育消费城市建设研究QDSKL1701091</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代坤</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23</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环境约束视角下青岛胶东临空经济示范区产业选择对策研究QDSKL1701100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周志刚</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24</w:t>
            </w:r>
          </w:p>
        </w:tc>
        <w:tc>
          <w:tcPr>
            <w:tcW w:w="4073" w:type="dxa"/>
            <w:shd w:val="clear" w:color="auto" w:fill="auto"/>
            <w:noWrap w:val="0"/>
            <w:vAlign w:val="center"/>
          </w:tcPr>
          <w:p>
            <w:pPr>
              <w:snapToGrid w:val="0"/>
              <w:spacing w:line="320" w:lineRule="atLeast"/>
              <w:ind w:right="17" w:rightChars="5"/>
              <w:rPr>
                <w:rFonts w:hint="eastAsia" w:ascii="仿宋_GB2312" w:hAnsi="仿宋"/>
                <w:color w:val="000000"/>
                <w:sz w:val="24"/>
                <w:szCs w:val="24"/>
              </w:rPr>
            </w:pPr>
            <w:r>
              <w:rPr>
                <w:rFonts w:hint="eastAsia" w:ascii="仿宋_GB2312" w:hAnsi="仿宋"/>
                <w:color w:val="000000"/>
                <w:sz w:val="24"/>
                <w:szCs w:val="24"/>
              </w:rPr>
              <w:t>全球价值链发展新态势下青岛市制造业升级的对策研究QDSKL1701099</w:t>
            </w:r>
          </w:p>
        </w:tc>
        <w:tc>
          <w:tcPr>
            <w:tcW w:w="1476" w:type="dxa"/>
            <w:shd w:val="clear" w:color="auto" w:fill="auto"/>
            <w:noWrap w:val="0"/>
            <w:vAlign w:val="center"/>
          </w:tcPr>
          <w:p>
            <w:pPr>
              <w:snapToGrid w:val="0"/>
              <w:spacing w:line="320" w:lineRule="atLeast"/>
              <w:ind w:right="17" w:rightChars="5"/>
              <w:jc w:val="center"/>
              <w:rPr>
                <w:rFonts w:hint="eastAsia" w:ascii="仿宋_GB2312" w:hAnsi="仿宋"/>
                <w:color w:val="000000"/>
                <w:sz w:val="24"/>
                <w:szCs w:val="24"/>
              </w:rPr>
            </w:pPr>
            <w:r>
              <w:rPr>
                <w:rFonts w:hint="eastAsia" w:ascii="仿宋_GB2312" w:hAnsi="仿宋"/>
                <w:color w:val="000000"/>
                <w:sz w:val="24"/>
                <w:szCs w:val="24"/>
              </w:rPr>
              <w:t>马风涛</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25</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青岛市中小企业智能制造集群动态演进研究QDSKL170112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张岩</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青岛市医养结合养老服务：模式、评价、体系建设研究QDSKL1701123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徐倩</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27</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青岛市沼气供给侧改革研究-基于商业模式的视角QDSKL1701113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李长胜</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28</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山东省战略性新兴产业资本配置效率研究及对青岛启示QDSKL17001124</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杨友才</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29</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青岛地区海神信仰初探——以天后宫、海云庵为中心QDSKL1701115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刘耀辉</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30</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以习近平同志为核心的党中央治国理政的经济思想研究QDSKLZ17012</w:t>
            </w:r>
          </w:p>
        </w:tc>
        <w:tc>
          <w:tcPr>
            <w:tcW w:w="1476" w:type="dxa"/>
            <w:shd w:val="clear" w:color="auto" w:fill="auto"/>
            <w:noWrap w:val="0"/>
            <w:vAlign w:val="center"/>
          </w:tcPr>
          <w:p>
            <w:pPr>
              <w:snapToGrid w:val="0"/>
              <w:spacing w:line="320" w:lineRule="atLeast"/>
              <w:ind w:right="17" w:rightChars="5"/>
              <w:jc w:val="center"/>
              <w:rPr>
                <w:rFonts w:hint="eastAsia" w:ascii="仿宋_GB2312" w:hAnsi="仿宋"/>
                <w:color w:val="000000"/>
                <w:sz w:val="24"/>
                <w:szCs w:val="24"/>
              </w:rPr>
            </w:pPr>
            <w:r>
              <w:rPr>
                <w:rFonts w:hint="eastAsia" w:ascii="仿宋_GB2312" w:hAnsi="仿宋"/>
                <w:color w:val="000000"/>
                <w:sz w:val="24"/>
                <w:szCs w:val="24"/>
              </w:rPr>
              <w:t>潘妍妍</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31</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青岛市与“一带一路”国家贸易效率与潜力研究——基于随机前沿引力模型的分析QDSKL1701138</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侯敏</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32</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智慧青岛建设的评价指标体系研究QDSKL1701135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崔庆宏</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33</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近代青岛文化中的外来因素——以青岛犹太人为例QDSKL1701143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莫玉梅</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34</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中华传统海洋文化之语言探索----基于青岛市海洋文化语言景观的实证研究QDSKL1701142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张燕</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35</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民法典视角下的信托受益权研究QDSKL1701152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柳芃</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海洋生态文明理念下的青岛市海洋产业结构调研研究QDSKL1701150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华章琳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37</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青岛市校园足球改革影响青少年体质健康与社会性发展的路径分析与实证研究QDSKL1701146</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王旭东</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38</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国民政府前期胶东农民生存困境问题研究QDSKL1701157</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张广杰</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青岛农业大学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39</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青岛文化旅游VR作品制作资源组织方法研究QDSKL1701170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吴溢华</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青岛农业大学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40</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跨境电子商务综合试验区平台生态圈机制设计及模式创——以青岛综试区为例QDSKL1701166</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丁慧平</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青岛农业大学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41</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对齐鲁传统文化的甄别及创新发展研究QDSKL1701164</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张立新</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青岛农业大学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42</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莫言作品在西方传播中的中国形象误读QDSKL1701171</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左燕茹</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青岛农业大学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43</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青岛市创新驱动战略金融支持体系研究QDSKL1701197</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陈超贤</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青岛中共市委党校</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44</w:t>
            </w:r>
          </w:p>
        </w:tc>
        <w:tc>
          <w:tcPr>
            <w:tcW w:w="4073" w:type="dxa"/>
            <w:shd w:val="clear" w:color="auto" w:fill="auto"/>
            <w:noWrap w:val="0"/>
            <w:vAlign w:val="center"/>
          </w:tcPr>
          <w:p>
            <w:pPr>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青岛市众创空间发展研究QDSKL1701202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朱艳鑫</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青岛中共市委党校</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45</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分级诊疗体系下青岛市基层首诊影响因素和提升路径研究 QDSKL1701179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刘平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青岛滨海学院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“中国制造2025”背景下青岛市职业院校应对策略研究QDSKL1701186</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王健</w:t>
            </w:r>
          </w:p>
        </w:tc>
        <w:tc>
          <w:tcPr>
            <w:tcW w:w="2417" w:type="dxa"/>
            <w:shd w:val="clear" w:color="auto" w:fill="auto"/>
            <w:noWrap w:val="0"/>
            <w:vAlign w:val="center"/>
          </w:tcPr>
          <w:p>
            <w:pPr>
              <w:snapToGrid w:val="0"/>
              <w:spacing w:line="320" w:lineRule="atLeast"/>
              <w:jc w:val="center"/>
              <w:rPr>
                <w:rFonts w:hint="eastAsia" w:ascii="仿宋_GB2312" w:hAnsi="仿宋"/>
                <w:color w:val="000000"/>
                <w:spacing w:val="-12"/>
                <w:sz w:val="24"/>
                <w:szCs w:val="24"/>
              </w:rPr>
            </w:pPr>
            <w:r>
              <w:rPr>
                <w:rFonts w:hint="eastAsia" w:ascii="仿宋_GB2312" w:hAnsi="仿宋"/>
                <w:spacing w:val="-12"/>
                <w:sz w:val="24"/>
                <w:szCs w:val="24"/>
              </w:rPr>
              <w:t>青岛酒店职业管理学院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47</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土地政策与德占时期青岛城市发展QDSKL1701214</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郑国</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青岛社科院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48</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青岛市大型地铁隧道项目成本管理研究QDSKL1701189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崔晓艳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青岛黄海学院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 xml:space="preserve">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49</w:t>
            </w:r>
          </w:p>
        </w:tc>
        <w:tc>
          <w:tcPr>
            <w:tcW w:w="4073" w:type="dxa"/>
            <w:shd w:val="clear" w:color="auto" w:fill="auto"/>
            <w:noWrap w:val="0"/>
            <w:vAlign w:val="center"/>
          </w:tcPr>
          <w:p>
            <w:pPr>
              <w:snapToGrid w:val="0"/>
              <w:spacing w:line="340" w:lineRule="atLeast"/>
              <w:rPr>
                <w:rFonts w:hint="eastAsia" w:ascii="仿宋_GB2312" w:hAnsi="仿宋"/>
                <w:color w:val="000000"/>
                <w:sz w:val="24"/>
                <w:szCs w:val="24"/>
              </w:rPr>
            </w:pPr>
            <w:r>
              <w:rPr>
                <w:rFonts w:hint="eastAsia" w:ascii="仿宋_GB2312" w:hAnsi="仿宋"/>
                <w:color w:val="000000"/>
                <w:sz w:val="24"/>
                <w:szCs w:val="24"/>
              </w:rPr>
              <w:t>职业院校工匠精神培育路径与载体研究—以青岛地区职业院校为例QDSKLZ17020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徐哲</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青岛黄海学院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50</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新的社会阶层在实现国家治理现代化过程中的作用研究QDSKL1701190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王昆</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青岛市社会主义学院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51</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商业银行支持PPP项目投资策略研究--以青岛市为例QDSKL1701224</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张连怀</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招商银行</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52</w:t>
            </w:r>
          </w:p>
        </w:tc>
        <w:tc>
          <w:tcPr>
            <w:tcW w:w="4073" w:type="dxa"/>
            <w:shd w:val="clear" w:color="auto" w:fill="auto"/>
            <w:noWrap w:val="0"/>
            <w:vAlign w:val="center"/>
          </w:tcPr>
          <w:p>
            <w:pPr>
              <w:widowControl/>
              <w:snapToGrid w:val="0"/>
              <w:spacing w:line="340" w:lineRule="atLeast"/>
              <w:rPr>
                <w:rFonts w:ascii="仿宋_GB2312" w:hAnsi="仿宋"/>
                <w:color w:val="000000"/>
                <w:sz w:val="24"/>
                <w:szCs w:val="24"/>
              </w:rPr>
            </w:pPr>
            <w:r>
              <w:rPr>
                <w:rFonts w:hint="eastAsia" w:ascii="仿宋_GB2312" w:hAnsi="仿宋"/>
                <w:color w:val="000000"/>
                <w:sz w:val="24"/>
                <w:szCs w:val="24"/>
              </w:rPr>
              <w:t>青年志愿服务标准化研究—以青岛市青年志愿服务项目化发展为例</w:t>
            </w:r>
            <w:r>
              <w:rPr>
                <w:rFonts w:ascii="仿宋_GB2312" w:hAnsi="仿宋"/>
                <w:color w:val="000000"/>
                <w:sz w:val="24"/>
                <w:szCs w:val="24"/>
              </w:rPr>
              <w:t>QDSKL1701216</w:t>
            </w:r>
          </w:p>
        </w:tc>
        <w:tc>
          <w:tcPr>
            <w:tcW w:w="1476" w:type="dxa"/>
            <w:shd w:val="clear" w:color="auto" w:fill="auto"/>
            <w:noWrap w:val="0"/>
            <w:vAlign w:val="center"/>
          </w:tcPr>
          <w:p>
            <w:pPr>
              <w:widowControl/>
              <w:snapToGrid w:val="0"/>
              <w:spacing w:line="320" w:lineRule="atLeast"/>
              <w:jc w:val="center"/>
              <w:rPr>
                <w:rFonts w:ascii="仿宋_GB2312" w:hAnsi="仿宋"/>
                <w:color w:val="000000"/>
                <w:sz w:val="24"/>
                <w:szCs w:val="24"/>
              </w:rPr>
            </w:pPr>
            <w:r>
              <w:rPr>
                <w:rFonts w:hint="eastAsia" w:ascii="仿宋_GB2312" w:hAnsi="仿宋"/>
                <w:color w:val="000000"/>
                <w:sz w:val="24"/>
                <w:szCs w:val="24"/>
              </w:rPr>
              <w:t>刘富珍</w:t>
            </w:r>
          </w:p>
        </w:tc>
        <w:tc>
          <w:tcPr>
            <w:tcW w:w="2417" w:type="dxa"/>
            <w:shd w:val="clear" w:color="auto" w:fill="auto"/>
            <w:noWrap w:val="0"/>
            <w:vAlign w:val="center"/>
          </w:tcPr>
          <w:p>
            <w:pPr>
              <w:widowControl/>
              <w:snapToGrid w:val="0"/>
              <w:spacing w:line="320" w:lineRule="atLeast"/>
              <w:jc w:val="center"/>
              <w:rPr>
                <w:rFonts w:ascii="仿宋_GB2312" w:hAnsi="仿宋"/>
                <w:color w:val="000000"/>
                <w:sz w:val="24"/>
                <w:szCs w:val="24"/>
              </w:rPr>
            </w:pPr>
            <w:r>
              <w:rPr>
                <w:rFonts w:hint="eastAsia" w:ascii="仿宋_GB2312" w:hAnsi="仿宋"/>
                <w:color w:val="000000"/>
                <w:sz w:val="24"/>
                <w:szCs w:val="24"/>
              </w:rPr>
              <w:t>青岛市团校</w:t>
            </w:r>
          </w:p>
        </w:tc>
        <w:tc>
          <w:tcPr>
            <w:tcW w:w="827" w:type="dxa"/>
            <w:shd w:val="clear" w:color="auto" w:fill="auto"/>
            <w:noWrap w:val="0"/>
            <w:vAlign w:val="center"/>
          </w:tcPr>
          <w:p>
            <w:pPr>
              <w:widowControl/>
              <w:snapToGrid w:val="0"/>
              <w:spacing w:line="320" w:lineRule="atLeast"/>
              <w:jc w:val="center"/>
              <w:rPr>
                <w:rFonts w:ascii="仿宋_GB2312" w:hAnsi="仿宋"/>
                <w:color w:val="000000"/>
                <w:sz w:val="24"/>
                <w:szCs w:val="24"/>
              </w:rPr>
            </w:pPr>
            <w:r>
              <w:rPr>
                <w:rFonts w:hint="eastAsia" w:ascii="仿宋_GB2312" w:hAnsi="仿宋"/>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53</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比较哲学视域下的易道形而上学探源——以‘象’为中心的《周易》思想研究QDSKL1601029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杨生照</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中国海洋大学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54</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文化边际域视角下青岛市文化旅游竞争力提升研究QDSKLl601064</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王克稳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55</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《二十世纪二三十年代青岛卫生防疫体系研究》QDSKL1601100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金霞</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56</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基于交互式微课的英语翻转课堂教学研究-以青岛大学为例QDSKL160405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牛聪琳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57</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19世纪末20世纪初美国新闻视角中的胶澳国际形象研究QDSKL1601099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韩威</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58</w:t>
            </w:r>
          </w:p>
        </w:tc>
        <w:tc>
          <w:tcPr>
            <w:tcW w:w="4073" w:type="dxa"/>
            <w:shd w:val="clear" w:color="auto" w:fill="auto"/>
            <w:noWrap w:val="0"/>
            <w:vAlign w:val="center"/>
          </w:tcPr>
          <w:p>
            <w:pPr>
              <w:snapToGrid w:val="0"/>
              <w:spacing w:line="340" w:lineRule="atLeast"/>
              <w:rPr>
                <w:rFonts w:hint="eastAsia" w:ascii="仿宋_GB2312" w:hAnsi="仿宋"/>
                <w:color w:val="000000"/>
                <w:sz w:val="24"/>
                <w:szCs w:val="24"/>
              </w:rPr>
            </w:pPr>
            <w:r>
              <w:rPr>
                <w:rFonts w:hint="eastAsia" w:ascii="仿宋_GB2312" w:hAnsi="仿宋"/>
                <w:color w:val="000000"/>
                <w:sz w:val="24"/>
                <w:szCs w:val="24"/>
              </w:rPr>
              <w:t>消费者、商家、平台三方视角下的网络口碑用户参与机制研究QDSKL1601077</w:t>
            </w:r>
          </w:p>
        </w:tc>
        <w:tc>
          <w:tcPr>
            <w:tcW w:w="1476" w:type="dxa"/>
            <w:shd w:val="clear" w:color="auto" w:fill="auto"/>
            <w:noWrap w:val="0"/>
            <w:vAlign w:val="center"/>
          </w:tcPr>
          <w:p>
            <w:pPr>
              <w:snapToGrid w:val="0"/>
              <w:spacing w:line="320" w:lineRule="atLeast"/>
              <w:ind w:right="17" w:rightChars="5" w:firstLine="43" w:firstLineChars="18"/>
              <w:jc w:val="center"/>
              <w:rPr>
                <w:rFonts w:hint="eastAsia" w:ascii="仿宋_GB2312" w:hAnsi="仿宋"/>
                <w:color w:val="000000"/>
                <w:sz w:val="24"/>
                <w:szCs w:val="24"/>
              </w:rPr>
            </w:pPr>
            <w:r>
              <w:rPr>
                <w:rFonts w:hint="eastAsia" w:ascii="仿宋_GB2312" w:hAnsi="仿宋"/>
                <w:color w:val="000000"/>
                <w:sz w:val="24"/>
                <w:szCs w:val="24"/>
              </w:rPr>
              <w:t>张宁</w:t>
            </w:r>
          </w:p>
        </w:tc>
        <w:tc>
          <w:tcPr>
            <w:tcW w:w="2417" w:type="dxa"/>
            <w:shd w:val="clear" w:color="auto" w:fill="auto"/>
            <w:noWrap w:val="0"/>
            <w:vAlign w:val="center"/>
          </w:tcPr>
          <w:p>
            <w:pPr>
              <w:snapToGrid w:val="0"/>
              <w:spacing w:line="320" w:lineRule="atLeast"/>
              <w:ind w:right="17" w:rightChars="5" w:firstLine="43" w:firstLineChars="18"/>
              <w:jc w:val="center"/>
              <w:rPr>
                <w:rFonts w:hint="eastAsia" w:ascii="仿宋_GB2312" w:hAnsi="仿宋"/>
                <w:color w:val="000000"/>
                <w:sz w:val="24"/>
                <w:szCs w:val="24"/>
              </w:rPr>
            </w:pPr>
            <w:r>
              <w:rPr>
                <w:rFonts w:hint="eastAsia" w:ascii="仿宋_GB2312" w:hAnsi="仿宋"/>
                <w:color w:val="000000"/>
                <w:sz w:val="24"/>
                <w:szCs w:val="24"/>
              </w:rPr>
              <w:t>青岛大学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59</w:t>
            </w:r>
          </w:p>
        </w:tc>
        <w:tc>
          <w:tcPr>
            <w:tcW w:w="4073" w:type="dxa"/>
            <w:shd w:val="clear" w:color="auto" w:fill="auto"/>
            <w:noWrap w:val="0"/>
            <w:vAlign w:val="center"/>
          </w:tcPr>
          <w:p>
            <w:pPr>
              <w:snapToGrid w:val="0"/>
              <w:spacing w:line="340" w:lineRule="atLeast"/>
              <w:ind w:right="17" w:rightChars="5" w:firstLine="43" w:firstLineChars="18"/>
              <w:rPr>
                <w:rFonts w:hint="eastAsia" w:ascii="仿宋_GB2312" w:hAnsi="仿宋"/>
                <w:color w:val="000000"/>
                <w:sz w:val="24"/>
                <w:szCs w:val="24"/>
              </w:rPr>
            </w:pPr>
            <w:r>
              <w:rPr>
                <w:rFonts w:hint="eastAsia" w:ascii="仿宋_GB2312" w:hAnsi="仿宋"/>
                <w:color w:val="000000"/>
                <w:sz w:val="24"/>
                <w:szCs w:val="24"/>
              </w:rPr>
              <w:t>帕慕克小说中的女性形象研究QDSKL1601123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高  华</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60</w:t>
            </w:r>
          </w:p>
        </w:tc>
        <w:tc>
          <w:tcPr>
            <w:tcW w:w="4073" w:type="dxa"/>
            <w:shd w:val="clear" w:color="auto" w:fill="auto"/>
            <w:noWrap w:val="0"/>
            <w:vAlign w:val="center"/>
          </w:tcPr>
          <w:p>
            <w:pPr>
              <w:snapToGrid w:val="0"/>
              <w:spacing w:line="340" w:lineRule="atLeast"/>
              <w:ind w:right="17" w:rightChars="5" w:firstLine="43" w:firstLineChars="18"/>
              <w:rPr>
                <w:rFonts w:hint="eastAsia" w:ascii="仿宋_GB2312" w:hAnsi="仿宋"/>
                <w:color w:val="000000"/>
                <w:sz w:val="24"/>
                <w:szCs w:val="24"/>
              </w:rPr>
            </w:pPr>
            <w:r>
              <w:rPr>
                <w:rFonts w:hint="eastAsia" w:ascii="仿宋_GB2312" w:hAnsi="仿宋"/>
                <w:color w:val="000000"/>
                <w:sz w:val="24"/>
                <w:szCs w:val="24"/>
              </w:rPr>
              <w:t>青岛区域优势与体育产业协同发展的研究QDSKL1601115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王汝尧</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山东科技大学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61</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青岛建设海洋发展中心研究QDSKL160508</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张先敏</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62</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青岛全面深化改革的探索与思考QDSKL1601131</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雷仲敏</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63</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英德双语商务人才培养模式研究QDSKL1601142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康琳</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64</w:t>
            </w:r>
          </w:p>
        </w:tc>
        <w:tc>
          <w:tcPr>
            <w:tcW w:w="4073" w:type="dxa"/>
            <w:shd w:val="clear" w:color="auto" w:fill="auto"/>
            <w:noWrap w:val="0"/>
            <w:vAlign w:val="center"/>
          </w:tcPr>
          <w:p>
            <w:pPr>
              <w:snapToGrid w:val="0"/>
              <w:spacing w:line="340" w:lineRule="atLeast"/>
              <w:rPr>
                <w:rFonts w:hint="eastAsia" w:ascii="仿宋_GB2312" w:hAnsi="仿宋"/>
                <w:color w:val="000000"/>
                <w:sz w:val="24"/>
                <w:szCs w:val="24"/>
              </w:rPr>
            </w:pPr>
            <w:r>
              <w:rPr>
                <w:rFonts w:hint="eastAsia" w:ascii="仿宋_GB2312" w:hAnsi="仿宋"/>
                <w:color w:val="000000"/>
                <w:sz w:val="24"/>
                <w:szCs w:val="24"/>
              </w:rPr>
              <w:t>共享理念下青岛市低利用率文献区域性存储图书馆建设研究QDSKL1601152</w:t>
            </w:r>
          </w:p>
        </w:tc>
        <w:tc>
          <w:tcPr>
            <w:tcW w:w="1476" w:type="dxa"/>
            <w:shd w:val="clear" w:color="auto" w:fill="auto"/>
            <w:noWrap w:val="0"/>
            <w:vAlign w:val="center"/>
          </w:tcPr>
          <w:p>
            <w:pPr>
              <w:snapToGrid w:val="0"/>
              <w:spacing w:line="320" w:lineRule="atLeast"/>
              <w:ind w:right="17" w:rightChars="5" w:firstLine="43" w:firstLineChars="18"/>
              <w:jc w:val="center"/>
              <w:rPr>
                <w:rFonts w:hint="eastAsia" w:ascii="仿宋_GB2312" w:hAnsi="仿宋"/>
                <w:color w:val="000000"/>
                <w:sz w:val="24"/>
                <w:szCs w:val="24"/>
              </w:rPr>
            </w:pPr>
            <w:r>
              <w:rPr>
                <w:rFonts w:hint="eastAsia" w:ascii="仿宋_GB2312" w:hAnsi="仿宋"/>
                <w:color w:val="000000"/>
                <w:sz w:val="24"/>
                <w:szCs w:val="24"/>
              </w:rPr>
              <w:t>全贞兰</w:t>
            </w:r>
          </w:p>
        </w:tc>
        <w:tc>
          <w:tcPr>
            <w:tcW w:w="2417" w:type="dxa"/>
            <w:shd w:val="clear" w:color="auto" w:fill="auto"/>
            <w:noWrap w:val="0"/>
            <w:vAlign w:val="center"/>
          </w:tcPr>
          <w:p>
            <w:pPr>
              <w:snapToGrid w:val="0"/>
              <w:spacing w:line="320" w:lineRule="atLeast"/>
              <w:ind w:right="17" w:rightChars="5" w:firstLine="43" w:firstLineChars="18"/>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65</w:t>
            </w:r>
          </w:p>
        </w:tc>
        <w:tc>
          <w:tcPr>
            <w:tcW w:w="4073" w:type="dxa"/>
            <w:shd w:val="clear" w:color="auto" w:fill="auto"/>
            <w:noWrap w:val="0"/>
            <w:vAlign w:val="center"/>
          </w:tcPr>
          <w:p>
            <w:pPr>
              <w:widowControl/>
              <w:snapToGrid w:val="0"/>
              <w:spacing w:line="340" w:lineRule="atLeast"/>
              <w:rPr>
                <w:rFonts w:hint="eastAsia" w:ascii="仿宋_GB2312" w:hAnsi="仿宋"/>
                <w:color w:val="000000"/>
                <w:sz w:val="24"/>
                <w:szCs w:val="24"/>
              </w:rPr>
            </w:pPr>
            <w:r>
              <w:rPr>
                <w:rFonts w:hint="eastAsia" w:ascii="仿宋_GB2312" w:hAnsi="仿宋"/>
                <w:color w:val="000000"/>
                <w:sz w:val="24"/>
                <w:szCs w:val="24"/>
              </w:rPr>
              <w:t>大数据时代化解小微企业银行融资难题三方联动机制研究——以青岛市为例QDSKL1601208</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潘罡</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spacing w:val="-12"/>
                <w:sz w:val="24"/>
                <w:szCs w:val="24"/>
              </w:rPr>
              <w:t>青岛酒店职业管理学院</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跨境电商助推青岛出口贸易转型升级的现状分析与促进策略研究QDSKL1601162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刘鹏</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67</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农村社会养老保险制度变迁中的主体互动——以青岛市为例QDSKL1601156</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王成程</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68</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元代崂山道士刘志坚研究QDSKL1601155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于洁</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69</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国内仲裁法律适用研究QDSKL1601240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田有赫</w:t>
            </w:r>
          </w:p>
        </w:tc>
        <w:tc>
          <w:tcPr>
            <w:tcW w:w="241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spacing w:val="-12"/>
                <w:sz w:val="24"/>
                <w:szCs w:val="24"/>
              </w:rPr>
              <w:t>青岛仲裁委员会办公室</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70</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青岛西海岸新区社区治理现代化研究QDSKL150712</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王菊娥</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中国石油大学</w:t>
            </w:r>
          </w:p>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（华东）</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71</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青岛德占时期历史建筑风格、建构与材料修复QDSKL150479</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成帅</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72</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开发农民旅游市场，完善青岛旅游经济产业结构——以低端消费者视角QDSKL130146</w:t>
            </w:r>
          </w:p>
        </w:tc>
        <w:tc>
          <w:tcPr>
            <w:tcW w:w="1476" w:type="dxa"/>
            <w:shd w:val="clear" w:color="auto" w:fill="auto"/>
            <w:noWrap w:val="0"/>
            <w:vAlign w:val="center"/>
          </w:tcPr>
          <w:p>
            <w:pPr>
              <w:snapToGrid w:val="0"/>
              <w:spacing w:line="320" w:lineRule="atLeast"/>
              <w:ind w:right="17" w:rightChars="5" w:firstLine="43" w:firstLineChars="18"/>
              <w:jc w:val="center"/>
              <w:rPr>
                <w:rFonts w:hint="eastAsia" w:ascii="仿宋_GB2312" w:hAnsi="仿宋"/>
                <w:color w:val="000000"/>
                <w:sz w:val="24"/>
                <w:szCs w:val="24"/>
              </w:rPr>
            </w:pPr>
            <w:r>
              <w:rPr>
                <w:rFonts w:hint="eastAsia" w:ascii="仿宋_GB2312" w:hAnsi="仿宋"/>
                <w:color w:val="000000"/>
                <w:sz w:val="24"/>
                <w:szCs w:val="24"/>
              </w:rPr>
              <w:t>姜永波</w:t>
            </w:r>
          </w:p>
        </w:tc>
        <w:tc>
          <w:tcPr>
            <w:tcW w:w="2417" w:type="dxa"/>
            <w:shd w:val="clear" w:color="auto" w:fill="auto"/>
            <w:noWrap w:val="0"/>
            <w:vAlign w:val="center"/>
          </w:tcPr>
          <w:p>
            <w:pPr>
              <w:snapToGrid w:val="0"/>
              <w:spacing w:line="320" w:lineRule="atLeast"/>
              <w:ind w:right="17" w:rightChars="5" w:firstLine="43" w:firstLineChars="18"/>
              <w:jc w:val="center"/>
              <w:rPr>
                <w:rFonts w:hint="eastAsia" w:ascii="仿宋_GB2312" w:hAnsi="仿宋"/>
                <w:color w:val="000000"/>
                <w:sz w:val="24"/>
                <w:szCs w:val="24"/>
              </w:rPr>
            </w:pPr>
            <w:r>
              <w:rPr>
                <w:rFonts w:hint="eastAsia" w:ascii="仿宋_GB2312" w:hAnsi="仿宋"/>
                <w:color w:val="000000"/>
                <w:sz w:val="24"/>
                <w:szCs w:val="24"/>
              </w:rPr>
              <w:t>青岛理工大学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73</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青岛志愿服务培育机制研究—以大学生为例QDSKL150504</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肖强</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74</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青岛传统村落的保护与旅游开发研究—以王哥庄青山渔村为例QDSKL1501085</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殷梅</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75</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憨山大师居崂事迹考QDSKL1501083</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孙克诚</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noWrap w:val="0"/>
            <w:vAlign w:val="center"/>
          </w:tcPr>
          <w:p>
            <w:pPr>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76</w:t>
            </w:r>
          </w:p>
        </w:tc>
        <w:tc>
          <w:tcPr>
            <w:tcW w:w="4073" w:type="dxa"/>
            <w:shd w:val="clear" w:color="auto" w:fill="auto"/>
            <w:noWrap w:val="0"/>
            <w:vAlign w:val="center"/>
          </w:tcPr>
          <w:p>
            <w:pPr>
              <w:widowControl/>
              <w:snapToGrid w:val="0"/>
              <w:spacing w:line="320" w:lineRule="atLeast"/>
              <w:rPr>
                <w:rFonts w:hint="eastAsia" w:ascii="仿宋_GB2312" w:hAnsi="仿宋"/>
                <w:color w:val="000000"/>
                <w:sz w:val="24"/>
                <w:szCs w:val="24"/>
              </w:rPr>
            </w:pPr>
            <w:r>
              <w:rPr>
                <w:rFonts w:hint="eastAsia" w:ascii="仿宋_GB2312" w:hAnsi="仿宋"/>
                <w:color w:val="000000"/>
                <w:sz w:val="24"/>
                <w:szCs w:val="24"/>
              </w:rPr>
              <w:t>加快推进青岛市产业转型升级的财政政策研究QDSKL1501070</w:t>
            </w:r>
          </w:p>
        </w:tc>
        <w:tc>
          <w:tcPr>
            <w:tcW w:w="1476"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苑吉洋</w:t>
            </w:r>
          </w:p>
        </w:tc>
        <w:tc>
          <w:tcPr>
            <w:tcW w:w="241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青岛科技大学</w:t>
            </w:r>
          </w:p>
        </w:tc>
        <w:tc>
          <w:tcPr>
            <w:tcW w:w="827" w:type="dxa"/>
            <w:shd w:val="clear" w:color="auto" w:fill="auto"/>
            <w:noWrap w:val="0"/>
            <w:vAlign w:val="center"/>
          </w:tcPr>
          <w:p>
            <w:pPr>
              <w:widowControl/>
              <w:snapToGrid w:val="0"/>
              <w:spacing w:line="320" w:lineRule="atLeast"/>
              <w:jc w:val="center"/>
              <w:rPr>
                <w:rFonts w:hint="eastAsia" w:ascii="仿宋_GB2312" w:hAnsi="仿宋"/>
                <w:color w:val="000000"/>
                <w:sz w:val="24"/>
                <w:szCs w:val="24"/>
              </w:rPr>
            </w:pPr>
            <w:r>
              <w:rPr>
                <w:rFonts w:hint="eastAsia" w:ascii="仿宋_GB2312" w:hAnsi="仿宋"/>
                <w:color w:val="000000"/>
                <w:sz w:val="24"/>
                <w:szCs w:val="24"/>
              </w:rPr>
              <w:t>论文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83681"/>
    <w:rsid w:val="46D83681"/>
    <w:rsid w:val="608E3A02"/>
    <w:rsid w:val="69167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val="0"/>
      <w:spacing w:line="312" w:lineRule="atLeast"/>
      <w:ind w:left="-3" w:rightChars="2" w:hanging="3"/>
    </w:pPr>
    <w:rPr>
      <w:rFonts w:hint="eastAsia" w:ascii="仿宋_GB2312"/>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2019-12-02T07:34:00Z</dcterms:created>
  <dc:creator>恩，就这样吧</dc:creator>
  <cp:lastModifiedBy>恩，就这样吧</cp:lastModifiedBy>
  <dcterms:modified xsi:type="dcterms:W3CDTF">2019-12-02T07:37:26Z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