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45"/>
        </w:tabs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一、本单位2021年度预算无政府购买服务内容。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二、2021年</w:t>
      </w:r>
      <w:r>
        <w:rPr>
          <w:rFonts w:hint="eastAsia" w:ascii="黑体" w:eastAsia="黑体"/>
          <w:sz w:val="32"/>
          <w:szCs w:val="32"/>
          <w:lang w:val="en-US" w:eastAsia="zh-CN"/>
        </w:rPr>
        <w:t>单位</w:t>
      </w:r>
      <w:r>
        <w:rPr>
          <w:rFonts w:hint="eastAsia" w:ascii="黑体" w:eastAsia="黑体"/>
          <w:sz w:val="32"/>
          <w:szCs w:val="32"/>
        </w:rPr>
        <w:t>预算情况说明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（一）2021年收支预算总体情况说明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按照综合预算的原则，青岛国际新闻中心</w:t>
      </w:r>
      <w:r>
        <w:rPr>
          <w:rFonts w:hint="eastAsia" w:ascii="仿宋_GB2312" w:hAnsi="宋体" w:eastAsia="仿宋_GB2312" w:cs="Courier New"/>
          <w:sz w:val="32"/>
          <w:szCs w:val="32"/>
        </w:rPr>
        <w:t>收入包括：一般公共预算拨款收入、支出包括：一般公共服务支出、社会保障和就业支出、住房保障支出。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2021年收入预算为569.18 万元，其中，财政拨款569.18 万元，占100%。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2021年支出预算为569.18万元，其中，基本支出396.18  万元，占 69.60 %；项目支出173万元，占30.40 %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楷体_GB2312" w:hAnsi="黑体" w:eastAsia="楷体_GB2312" w:cs="黑体"/>
          <w:bCs/>
          <w:sz w:val="32"/>
          <w:szCs w:val="32"/>
        </w:rPr>
      </w:pPr>
      <w:r>
        <w:rPr>
          <w:rFonts w:hint="eastAsia" w:ascii="楷体_GB2312" w:hAnsi="黑体" w:eastAsia="楷体_GB2312" w:cs="黑体"/>
          <w:bCs/>
          <w:sz w:val="32"/>
          <w:szCs w:val="32"/>
        </w:rPr>
        <w:t>（二）2021年收入预算情况说明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本年收入合计 569.18  万元，其中：财政拨款收入 569.18  万元，占100 %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楷体_GB2312" w:hAnsi="黑体" w:eastAsia="楷体_GB2312" w:cs="黑体"/>
          <w:bCs/>
          <w:sz w:val="32"/>
          <w:szCs w:val="32"/>
        </w:rPr>
      </w:pPr>
      <w:r>
        <w:rPr>
          <w:rFonts w:hint="eastAsia" w:ascii="楷体_GB2312" w:hAnsi="黑体" w:eastAsia="楷体_GB2312" w:cs="黑体"/>
          <w:bCs/>
          <w:sz w:val="32"/>
          <w:szCs w:val="32"/>
        </w:rPr>
        <w:t>（三）2021年支出预算情况说明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本年收入合计569.18  万元，其中：基本支出396.18   万元，占69.60 %；项目支出 173  万元，占30.40 %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5120640" cy="2571750"/>
            <wp:effectExtent l="19050" t="0" r="22860" b="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(四）2021年财政拨款收入支出预算总体情况说明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2021年财政拨款收支预算 569.18万元，与2020年相比，财政拨款收入、支出总计各增加 161.14 万元，增长 40 %。主要原因增加了项目支出（不动产经营租赁）。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（五）2021年一般公共预算财政拨款收入支出预算情况说明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2021年一般公共预算收入 569.18 万元，与2020年相比，增加 161.14 万元，比上年增长 40 %。主要原因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项目支出（不动产经营租赁）。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2021年一般公共预算支出569.18  万元，</w:t>
      </w:r>
      <w:r>
        <w:rPr>
          <w:rFonts w:hint="eastAsia" w:ascii="仿宋_GB2312" w:hAnsi="楷体_GB2312" w:eastAsia="仿宋_GB2312" w:cs="楷体_GB2312"/>
          <w:sz w:val="32"/>
          <w:szCs w:val="32"/>
        </w:rPr>
        <w:t>与2020年相比，增加 161.14 万元，比上年增长 40 %。主要原因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项目支出（不动产经营租赁）。其中：一般公共服务（类）支出 484.52 万元，占85.13  %；社会保障和就业（类）支出51.63 万元，占9.07  %；住房保障支出（类）支出 33.03 万元，占5.8 %。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120640" cy="2571750"/>
            <wp:effectExtent l="19050" t="0" r="2286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line="580" w:lineRule="exact"/>
        <w:ind w:firstLine="64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（六）政府性基金预算收支情况</w:t>
      </w:r>
    </w:p>
    <w:p>
      <w:pPr>
        <w:spacing w:line="580" w:lineRule="exact"/>
        <w:ind w:firstLine="640" w:firstLineChars="200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青岛国际新闻中心2021年没有政府性基金预算拨款安排的收入，也没有使用政府性基金预算拨款安排的支出。</w:t>
      </w:r>
    </w:p>
    <w:p>
      <w:pPr>
        <w:spacing w:line="580" w:lineRule="exact"/>
        <w:ind w:firstLine="640" w:firstLineChars="200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（七）2021年财政拨款基本支出预算情况说明</w:t>
      </w:r>
    </w:p>
    <w:p>
      <w:pPr>
        <w:spacing w:line="580" w:lineRule="exact"/>
        <w:ind w:firstLine="595" w:firstLineChars="18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2021年，通过财政拨款安排的基本支出 396.18  万元，其中：</w:t>
      </w:r>
    </w:p>
    <w:p>
      <w:pPr>
        <w:spacing w:line="580" w:lineRule="exact"/>
        <w:ind w:firstLine="595" w:firstLineChars="18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人员经费 295.65 万元，按部门预算支出经济分类主要包括：基本工资、津贴补贴、机关事业单位基本养老保险缴费、职业年金缴费、职工基本医疗保险缴费、其他社会保障缴费、住房公积金。</w:t>
      </w:r>
    </w:p>
    <w:p>
      <w:pPr>
        <w:spacing w:line="58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公用经费 100.53 万元，按部门预算支出经济分类主要包括：办公费、水费、电费、取暖费、维修（护）费、其他商品和服务支出</w:t>
      </w:r>
      <w:r>
        <w:rPr>
          <w:rFonts w:hint="eastAsia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（八）2022年财政拨款安排的“三公”经费情况</w:t>
      </w:r>
    </w:p>
    <w:p>
      <w:pPr>
        <w:spacing w:line="580" w:lineRule="exact"/>
        <w:ind w:firstLine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本年度无三公经费安排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5NGM0NjZjZjkxM2UyMDFkNDNhYWZjODUzMjZmZmUifQ=="/>
  </w:docVars>
  <w:rsids>
    <w:rsidRoot w:val="00010545"/>
    <w:rsid w:val="00010545"/>
    <w:rsid w:val="000C3F48"/>
    <w:rsid w:val="001A4B22"/>
    <w:rsid w:val="002B566F"/>
    <w:rsid w:val="003521F3"/>
    <w:rsid w:val="00524CCC"/>
    <w:rsid w:val="00A91B21"/>
    <w:rsid w:val="00B15315"/>
    <w:rsid w:val="00B2723C"/>
    <w:rsid w:val="00B36790"/>
    <w:rsid w:val="00C53C18"/>
    <w:rsid w:val="00CC1E6F"/>
    <w:rsid w:val="00EA16BD"/>
    <w:rsid w:val="2499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360MoveData\Users\Administrator\Desktop\&#30011;&#22270;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360MoveData\Users\Administrator\Desktop\&#30011;&#22270;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360MoveData\Users\Administrator\Desktop\&#30011;&#22270;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360MoveData\Users\Administrator\Desktop\&#30011;&#22270;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财政拨款收支变动情况图!$F$1:$F$2</c:f>
              <c:strCache>
                <c:ptCount val="2"/>
                <c:pt idx="0">
                  <c:v>2021年度</c:v>
                </c:pt>
                <c:pt idx="1">
                  <c:v>2020年度</c:v>
                </c:pt>
              </c:strCache>
            </c:strRef>
          </c:cat>
          <c:val>
            <c:numRef>
              <c:f>财政拨款收支变动情况图!$G$1:$G$2</c:f>
              <c:numCache>
                <c:formatCode>#,##0.00</c:formatCode>
                <c:ptCount val="2"/>
                <c:pt idx="0">
                  <c:v>569.18</c:v>
                </c:pt>
                <c:pt idx="1">
                  <c:v>408.04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2770176"/>
        <c:axId val="103025664"/>
      </c:barChart>
      <c:catAx>
        <c:axId val="1027701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03025664"/>
        <c:crosses val="autoZero"/>
        <c:auto val="1"/>
        <c:lblAlgn val="ctr"/>
        <c:lblOffset val="100"/>
        <c:noMultiLvlLbl val="0"/>
      </c:catAx>
      <c:valAx>
        <c:axId val="10302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02770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-0.0783333333333335"/>
                  <c:y val="0.0194444444444444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416666666666667"/>
                  <c:y val="-0.00876096411787001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5"/>
                  <c:y val="0.00277777777777779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1"/>
                  <c:y val="0.036111111111111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财政拨款支出决算结构图!$A$1:$A$5</c:f>
              <c:strCache>
                <c:ptCount val="2"/>
                <c:pt idx="0">
                  <c:v>基本支出</c:v>
                </c:pt>
                <c:pt idx="1">
                  <c:v>项目支出</c:v>
                </c:pt>
              </c:strCache>
            </c:strRef>
          </c:cat>
          <c:val>
            <c:numRef>
              <c:f>财政拨款支出决算结构图!$B$1:$B$5</c:f>
              <c:numCache>
                <c:formatCode>#,##0.00</c:formatCode>
                <c:ptCount val="5"/>
                <c:pt idx="0">
                  <c:v>396.18</c:v>
                </c:pt>
                <c:pt idx="1">
                  <c:v>173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财政拨款收支变动情况图!$F$1:$F$2</c:f>
              <c:strCache>
                <c:ptCount val="2"/>
                <c:pt idx="0">
                  <c:v>2021年度</c:v>
                </c:pt>
                <c:pt idx="1">
                  <c:v>2020年度</c:v>
                </c:pt>
              </c:strCache>
            </c:strRef>
          </c:cat>
          <c:val>
            <c:numRef>
              <c:f>财政拨款收支变动情况图!$G$1:$G$2</c:f>
              <c:numCache>
                <c:formatCode>#,##0.00</c:formatCode>
                <c:ptCount val="2"/>
                <c:pt idx="0">
                  <c:v>569.18</c:v>
                </c:pt>
                <c:pt idx="1">
                  <c:v>408.04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818304"/>
        <c:axId val="138820608"/>
      </c:barChart>
      <c:catAx>
        <c:axId val="1388183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8820608"/>
        <c:crosses val="autoZero"/>
        <c:auto val="1"/>
        <c:lblAlgn val="ctr"/>
        <c:lblOffset val="100"/>
        <c:noMultiLvlLbl val="0"/>
      </c:catAx>
      <c:valAx>
        <c:axId val="13882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881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-0.0783333333333335"/>
                  <c:y val="0.0194444444444444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416666666666667"/>
                  <c:y val="-0.00876096411787001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5"/>
                  <c:y val="0.00277777777777779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1"/>
                  <c:y val="0.036111111111111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财政拨款支出决算结构图!$A$1:$A$5</c:f>
              <c:strCache>
                <c:ptCount val="3"/>
                <c:pt idx="0">
                  <c:v>一般公共服务（类）支出</c:v>
                </c:pt>
                <c:pt idx="1">
                  <c:v>社会保障和就业支出（类）支出</c:v>
                </c:pt>
                <c:pt idx="2">
                  <c:v>住房保障（类）支出</c:v>
                </c:pt>
              </c:strCache>
            </c:strRef>
          </c:cat>
          <c:val>
            <c:numRef>
              <c:f>财政拨款支出决算结构图!$B$1:$B$5</c:f>
              <c:numCache>
                <c:formatCode>#,##0.00</c:formatCode>
                <c:ptCount val="5"/>
                <c:pt idx="0">
                  <c:v>484.52</c:v>
                </c:pt>
                <c:pt idx="1">
                  <c:v>51.63</c:v>
                </c:pt>
                <c:pt idx="2">
                  <c:v>33.03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779</Words>
  <Characters>965</Characters>
  <Lines>7</Lines>
  <Paragraphs>2</Paragraphs>
  <TotalTime>0</TotalTime>
  <ScaleCrop>false</ScaleCrop>
  <LinksUpToDate>false</LinksUpToDate>
  <CharactersWithSpaces>1023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2022-10-13T02:48:00Z</dcterms:created>
  <dc:creator>PC</dc:creator>
  <cp:lastModifiedBy>李永道</cp:lastModifiedBy>
  <dcterms:modified xsi:type="dcterms:W3CDTF">2022-10-25T03:52:07Z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45AB793A6B054A5C980F8E95679274ED</vt:lpwstr>
  </property>
</Properties>
</file>